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631" w:rsidRDefault="005D3D66">
      <w:pPr>
        <w:spacing w:line="450" w:lineRule="atLeast"/>
        <w:rPr>
          <w:rFonts w:ascii="方正仿宋_GBK" w:eastAsia="方正仿宋_GBK"/>
          <w:color w:val="000000"/>
          <w:sz w:val="32"/>
          <w:szCs w:val="32"/>
        </w:rPr>
      </w:pPr>
      <w:r>
        <w:rPr>
          <w:rFonts w:ascii="方正仿宋_GBK" w:eastAsia="方正仿宋_GBK" w:hint="eastAsia"/>
          <w:color w:val="000000"/>
          <w:sz w:val="32"/>
          <w:szCs w:val="32"/>
        </w:rPr>
        <w:t>附件1：</w:t>
      </w:r>
    </w:p>
    <w:p w:rsidR="0038117A" w:rsidRDefault="0038117A">
      <w:pPr>
        <w:spacing w:line="450" w:lineRule="atLeast"/>
        <w:rPr>
          <w:rFonts w:ascii="方正仿宋_GBK" w:eastAsia="方正仿宋_GBK"/>
          <w:color w:val="000000"/>
          <w:sz w:val="32"/>
          <w:szCs w:val="32"/>
        </w:rPr>
      </w:pPr>
    </w:p>
    <w:p w:rsidR="0038117A" w:rsidRDefault="005D3D66">
      <w:pPr>
        <w:spacing w:line="560" w:lineRule="exact"/>
        <w:jc w:val="center"/>
        <w:rPr>
          <w:rFonts w:ascii="方正小标宋_GBK" w:eastAsia="方正小标宋_GBK" w:hAnsi="宋体" w:cs="宋体"/>
          <w:color w:val="000000"/>
          <w:kern w:val="0"/>
          <w:sz w:val="44"/>
          <w:szCs w:val="44"/>
        </w:rPr>
      </w:pPr>
      <w:r w:rsidRPr="0038117A">
        <w:rPr>
          <w:rFonts w:ascii="方正小标宋_GBK" w:eastAsia="方正小标宋_GBK" w:hAnsi="宋体" w:cs="宋体" w:hint="eastAsia"/>
          <w:color w:val="000000"/>
          <w:kern w:val="0"/>
          <w:sz w:val="44"/>
          <w:szCs w:val="44"/>
        </w:rPr>
        <w:t>2018年重庆市基础研究与前沿探索项目</w:t>
      </w:r>
    </w:p>
    <w:p w:rsidR="00833631" w:rsidRPr="0038117A" w:rsidRDefault="005D3D66">
      <w:pPr>
        <w:spacing w:line="560" w:lineRule="exact"/>
        <w:jc w:val="center"/>
        <w:rPr>
          <w:rFonts w:ascii="方正小标宋_GBK" w:eastAsia="方正小标宋_GBK" w:hAnsi="宋体" w:cs="宋体"/>
          <w:color w:val="000000"/>
          <w:kern w:val="0"/>
          <w:sz w:val="44"/>
          <w:szCs w:val="44"/>
        </w:rPr>
      </w:pPr>
      <w:r w:rsidRPr="0038117A">
        <w:rPr>
          <w:rFonts w:ascii="方正小标宋_GBK" w:eastAsia="方正小标宋_GBK" w:hAnsi="宋体" w:cs="宋体" w:hint="eastAsia"/>
          <w:color w:val="000000"/>
          <w:kern w:val="0"/>
          <w:sz w:val="44"/>
          <w:szCs w:val="44"/>
        </w:rPr>
        <w:t>申报指南</w:t>
      </w:r>
    </w:p>
    <w:p w:rsidR="00833631" w:rsidRDefault="00833631" w:rsidP="00F33A68">
      <w:pPr>
        <w:spacing w:line="560" w:lineRule="exact"/>
        <w:rPr>
          <w:rFonts w:ascii="仿宋_GB2312" w:eastAsia="仿宋_GB2312"/>
          <w:color w:val="000000"/>
          <w:sz w:val="30"/>
          <w:szCs w:val="30"/>
        </w:rPr>
      </w:pPr>
    </w:p>
    <w:p w:rsidR="002916E2" w:rsidRDefault="002916E2" w:rsidP="002916E2">
      <w:pPr>
        <w:spacing w:line="560" w:lineRule="exact"/>
        <w:ind w:firstLineChars="200" w:firstLine="640"/>
        <w:rPr>
          <w:rFonts w:ascii="方正仿宋_GBK" w:eastAsia="方正仿宋_GBK" w:hint="eastAsia"/>
          <w:color w:val="000000"/>
          <w:sz w:val="32"/>
          <w:szCs w:val="32"/>
        </w:rPr>
      </w:pPr>
      <w:r>
        <w:rPr>
          <w:rFonts w:ascii="方正仿宋_GBK" w:eastAsia="方正仿宋_GBK" w:hint="eastAsia"/>
          <w:color w:val="000000"/>
          <w:sz w:val="32"/>
          <w:szCs w:val="32"/>
        </w:rPr>
        <w:t>2</w:t>
      </w:r>
      <w:r>
        <w:rPr>
          <w:rFonts w:ascii="方正仿宋_GBK" w:eastAsia="方正仿宋_GBK"/>
          <w:color w:val="000000"/>
          <w:sz w:val="32"/>
          <w:szCs w:val="32"/>
        </w:rPr>
        <w:t>018</w:t>
      </w:r>
      <w:r>
        <w:rPr>
          <w:rFonts w:ascii="方正仿宋_GBK" w:eastAsia="方正仿宋_GBK" w:hint="eastAsia"/>
          <w:color w:val="000000"/>
          <w:sz w:val="32"/>
          <w:szCs w:val="32"/>
        </w:rPr>
        <w:t>年</w:t>
      </w:r>
      <w:r>
        <w:rPr>
          <w:rFonts w:ascii="方正仿宋_GBK" w:eastAsia="方正仿宋_GBK"/>
          <w:color w:val="000000"/>
          <w:sz w:val="32"/>
          <w:szCs w:val="32"/>
        </w:rPr>
        <w:t>重庆市基础研究与前沿探索</w:t>
      </w:r>
      <w:r>
        <w:rPr>
          <w:rFonts w:ascii="方正仿宋_GBK" w:eastAsia="方正仿宋_GBK" w:hint="eastAsia"/>
          <w:color w:val="000000"/>
          <w:sz w:val="32"/>
          <w:szCs w:val="32"/>
        </w:rPr>
        <w:t>（自然科学基金）</w:t>
      </w:r>
      <w:r>
        <w:rPr>
          <w:rFonts w:ascii="方正仿宋_GBK" w:eastAsia="方正仿宋_GBK"/>
          <w:color w:val="000000"/>
          <w:sz w:val="32"/>
          <w:szCs w:val="32"/>
        </w:rPr>
        <w:t>项目</w:t>
      </w:r>
      <w:r>
        <w:rPr>
          <w:rFonts w:ascii="方正仿宋_GBK" w:eastAsia="方正仿宋_GBK" w:hint="eastAsia"/>
          <w:color w:val="000000"/>
          <w:sz w:val="32"/>
          <w:szCs w:val="32"/>
        </w:rPr>
        <w:t>主要聚焦我市产业发展的基础前沿关键科学问题和优势学科发展方向，引导</w:t>
      </w:r>
      <w:r>
        <w:rPr>
          <w:rFonts w:ascii="Times New Roman" w:eastAsia="方正仿宋_GBK" w:hAnsi="Times New Roman" w:hint="eastAsia"/>
          <w:sz w:val="32"/>
          <w:szCs w:val="32"/>
        </w:rPr>
        <w:t>我市科研人员开展基础研究和应用基础</w:t>
      </w:r>
      <w:r>
        <w:rPr>
          <w:rFonts w:ascii="方正仿宋_GBK" w:eastAsia="方正仿宋_GBK" w:hint="eastAsia"/>
          <w:color w:val="000000"/>
          <w:sz w:val="32"/>
          <w:szCs w:val="32"/>
        </w:rPr>
        <w:t>研究，充分</w:t>
      </w:r>
      <w:r w:rsidR="00146827">
        <w:rPr>
          <w:rFonts w:ascii="方正仿宋_GBK" w:eastAsia="方正仿宋_GBK" w:hint="eastAsia"/>
          <w:color w:val="000000"/>
          <w:sz w:val="32"/>
          <w:szCs w:val="32"/>
        </w:rPr>
        <w:t>发挥</w:t>
      </w:r>
      <w:bookmarkStart w:id="0" w:name="_GoBack"/>
      <w:r>
        <w:rPr>
          <w:rFonts w:ascii="方正仿宋_GBK" w:eastAsia="方正仿宋_GBK" w:hint="eastAsia"/>
          <w:color w:val="000000"/>
          <w:sz w:val="32"/>
          <w:szCs w:val="32"/>
        </w:rPr>
        <w:t>源头创新</w:t>
      </w:r>
      <w:bookmarkEnd w:id="0"/>
      <w:r>
        <w:rPr>
          <w:rFonts w:ascii="方正仿宋_GBK" w:eastAsia="方正仿宋_GBK" w:hint="eastAsia"/>
          <w:color w:val="000000"/>
          <w:sz w:val="32"/>
          <w:szCs w:val="32"/>
        </w:rPr>
        <w:t>作用，为实施科教兴市和人才强市战略提供支撑。</w:t>
      </w:r>
      <w:r w:rsidR="00F32C7D">
        <w:rPr>
          <w:rFonts w:ascii="方正仿宋_GBK" w:eastAsia="方正仿宋_GBK" w:hint="eastAsia"/>
          <w:color w:val="000000"/>
          <w:sz w:val="32"/>
          <w:szCs w:val="32"/>
        </w:rPr>
        <w:t>重点支持</w:t>
      </w:r>
      <w:r w:rsidR="00F32C7D">
        <w:rPr>
          <w:rFonts w:ascii="方正仿宋_GBK" w:eastAsia="方正仿宋_GBK"/>
          <w:color w:val="000000"/>
          <w:sz w:val="32"/>
          <w:szCs w:val="32"/>
        </w:rPr>
        <w:t>领域如下：</w:t>
      </w:r>
    </w:p>
    <w:p w:rsidR="00833631" w:rsidRPr="002916E2" w:rsidRDefault="002916E2" w:rsidP="00F33A68">
      <w:pPr>
        <w:spacing w:line="560" w:lineRule="exact"/>
        <w:ind w:firstLineChars="200" w:firstLine="640"/>
        <w:rPr>
          <w:rFonts w:ascii="黑体" w:eastAsia="黑体" w:hAnsi="黑体"/>
          <w:bCs/>
          <w:color w:val="000000"/>
          <w:sz w:val="32"/>
          <w:szCs w:val="32"/>
        </w:rPr>
      </w:pPr>
      <w:r w:rsidRPr="002916E2">
        <w:rPr>
          <w:rFonts w:ascii="黑体" w:eastAsia="黑体" w:hAnsi="黑体" w:hint="eastAsia"/>
          <w:bCs/>
          <w:color w:val="000000"/>
          <w:sz w:val="32"/>
          <w:szCs w:val="32"/>
        </w:rPr>
        <w:t>一、</w:t>
      </w:r>
      <w:r w:rsidR="005D3D66" w:rsidRPr="002916E2">
        <w:rPr>
          <w:rFonts w:ascii="黑体" w:eastAsia="黑体" w:hAnsi="黑体" w:hint="eastAsia"/>
          <w:bCs/>
          <w:color w:val="000000"/>
          <w:sz w:val="32"/>
          <w:szCs w:val="32"/>
        </w:rPr>
        <w:t>现代农业领域</w:t>
      </w:r>
    </w:p>
    <w:p w:rsidR="00833631" w:rsidRDefault="005D3D66" w:rsidP="00F33A68">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动植物资源多样性与维持、重要性状的遗传规律解析、种质资源的发掘与精准评价；农业生物遗传改良分子基础与基因工程，重大育种理论、技术与材料创新；主要农作物水分、养分需求规律与高效利用；主要农作物病虫害发生及防控；化肥农药减施增效机理与调控途径；农业生态环境保护与修复；畜禽和水产健康养殖、疾病发生及防控；农产品贮藏与加工；农产品质量安全；农业农村信息化前沿技术与农业装备自动化、智能化。</w:t>
      </w:r>
    </w:p>
    <w:p w:rsidR="00833631" w:rsidRPr="002916E2" w:rsidRDefault="005D3D66" w:rsidP="002916E2">
      <w:pPr>
        <w:spacing w:line="560" w:lineRule="exact"/>
        <w:ind w:firstLineChars="200" w:firstLine="640"/>
        <w:rPr>
          <w:rFonts w:ascii="黑体" w:eastAsia="黑体" w:hAnsi="黑体"/>
          <w:bCs/>
          <w:color w:val="000000"/>
          <w:sz w:val="32"/>
          <w:szCs w:val="32"/>
        </w:rPr>
      </w:pPr>
      <w:r w:rsidRPr="002916E2">
        <w:rPr>
          <w:rFonts w:ascii="黑体" w:eastAsia="黑体" w:hAnsi="黑体" w:hint="eastAsia"/>
          <w:bCs/>
          <w:color w:val="000000"/>
          <w:sz w:val="32"/>
          <w:szCs w:val="32"/>
        </w:rPr>
        <w:t>二</w:t>
      </w:r>
      <w:r w:rsidR="002916E2">
        <w:rPr>
          <w:rFonts w:ascii="黑体" w:eastAsia="黑体" w:hAnsi="黑体" w:hint="eastAsia"/>
          <w:bCs/>
          <w:color w:val="000000"/>
          <w:sz w:val="32"/>
          <w:szCs w:val="32"/>
        </w:rPr>
        <w:t>、</w:t>
      </w:r>
      <w:r w:rsidRPr="002916E2">
        <w:rPr>
          <w:rFonts w:ascii="黑体" w:eastAsia="黑体" w:hAnsi="黑体" w:hint="eastAsia"/>
          <w:bCs/>
          <w:color w:val="000000"/>
          <w:sz w:val="32"/>
          <w:szCs w:val="32"/>
        </w:rPr>
        <w:t>人口与健康领域</w:t>
      </w:r>
    </w:p>
    <w:p w:rsidR="00833631" w:rsidRDefault="005D3D66" w:rsidP="00F33A68">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心脑血管、恶性肿瘤、精神疾病等重大疾病发病机制及干预；常见多发病的发病机制及防治；重要疾病的遗传及表观遗传机制；围生期和新生儿期重要疾病发病机制与防治；蚊等重要媒介生物传病机制及防治；病毒感染、免疫应答与相关疾病；感染性疾病与细菌耐药对策；干细胞与再生医学</w:t>
      </w:r>
      <w:r>
        <w:rPr>
          <w:rFonts w:ascii="方正仿宋_GBK" w:eastAsia="方正仿宋_GBK" w:hint="eastAsia"/>
          <w:color w:val="000000"/>
          <w:sz w:val="32"/>
          <w:szCs w:val="32"/>
        </w:rPr>
        <w:lastRenderedPageBreak/>
        <w:t>前沿；高级认识与脑机制；创伤修复前沿；慢性疼痛机制及干预研究；神经损伤与修复；环境因素与健康效应；精准医学新原理与新技术；数字诊疗。</w:t>
      </w:r>
    </w:p>
    <w:p w:rsidR="00833631" w:rsidRPr="002916E2" w:rsidRDefault="005D3D66" w:rsidP="002916E2">
      <w:pPr>
        <w:spacing w:line="560" w:lineRule="exact"/>
        <w:ind w:firstLineChars="200" w:firstLine="640"/>
        <w:rPr>
          <w:rFonts w:ascii="黑体" w:eastAsia="黑体" w:hAnsi="黑体"/>
          <w:bCs/>
          <w:color w:val="000000"/>
          <w:sz w:val="32"/>
          <w:szCs w:val="32"/>
        </w:rPr>
      </w:pPr>
      <w:r w:rsidRPr="002916E2">
        <w:rPr>
          <w:rFonts w:ascii="黑体" w:eastAsia="黑体" w:hAnsi="黑体" w:hint="eastAsia"/>
          <w:bCs/>
          <w:color w:val="000000"/>
          <w:sz w:val="32"/>
          <w:szCs w:val="32"/>
        </w:rPr>
        <w:t>三</w:t>
      </w:r>
      <w:r w:rsidR="002916E2">
        <w:rPr>
          <w:rFonts w:ascii="黑体" w:eastAsia="黑体" w:hAnsi="黑体" w:hint="eastAsia"/>
          <w:bCs/>
          <w:color w:val="000000"/>
          <w:sz w:val="32"/>
          <w:szCs w:val="32"/>
        </w:rPr>
        <w:t>、</w:t>
      </w:r>
      <w:r w:rsidRPr="002916E2">
        <w:rPr>
          <w:rFonts w:ascii="黑体" w:eastAsia="黑体" w:hAnsi="黑体" w:hint="eastAsia"/>
          <w:bCs/>
          <w:color w:val="000000"/>
          <w:sz w:val="32"/>
          <w:szCs w:val="32"/>
        </w:rPr>
        <w:t>生物医药领域</w:t>
      </w:r>
    </w:p>
    <w:p w:rsidR="00833631" w:rsidRDefault="005D3D66" w:rsidP="00F33A68">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特异性抗体药物；核酸类药物；个性化、精准化药物的前沿研究；基于药物基因组学、代谢组学、药物代谢动力学、系统生物学的药物基础研究；新型纳米药物载体的研发；创新药物的临床前研究；基于新靶点的抗肿瘤药物研究；肿瘤耐药分子机制；天然活性药物与药物代谢动力学基础；中药复方的药理学机制；中药毒理学与毒代分析；中医基础理论；中药方剂；证候与病证、藏象、经络研究；中药材种质资源的发掘与评价；系统发育与分子进化；代谢、次级代谢与调控。</w:t>
      </w:r>
    </w:p>
    <w:p w:rsidR="00833631" w:rsidRPr="002916E2" w:rsidRDefault="005D3D66" w:rsidP="002916E2">
      <w:pPr>
        <w:spacing w:line="560" w:lineRule="exact"/>
        <w:ind w:firstLineChars="200" w:firstLine="640"/>
        <w:rPr>
          <w:rFonts w:ascii="黑体" w:eastAsia="黑体" w:hAnsi="黑体"/>
          <w:bCs/>
          <w:color w:val="000000"/>
          <w:sz w:val="32"/>
          <w:szCs w:val="32"/>
        </w:rPr>
      </w:pPr>
      <w:r w:rsidRPr="002916E2">
        <w:rPr>
          <w:rFonts w:ascii="黑体" w:eastAsia="黑体" w:hAnsi="黑体" w:hint="eastAsia"/>
          <w:bCs/>
          <w:color w:val="000000"/>
          <w:sz w:val="32"/>
          <w:szCs w:val="32"/>
        </w:rPr>
        <w:t>四</w:t>
      </w:r>
      <w:r w:rsidR="002916E2">
        <w:rPr>
          <w:rFonts w:ascii="黑体" w:eastAsia="黑体" w:hAnsi="黑体" w:hint="eastAsia"/>
          <w:bCs/>
          <w:color w:val="000000"/>
          <w:sz w:val="32"/>
          <w:szCs w:val="32"/>
        </w:rPr>
        <w:t>、</w:t>
      </w:r>
      <w:r w:rsidRPr="002916E2">
        <w:rPr>
          <w:rFonts w:ascii="黑体" w:eastAsia="黑体" w:hAnsi="黑体" w:hint="eastAsia"/>
          <w:bCs/>
          <w:color w:val="000000"/>
          <w:sz w:val="32"/>
          <w:szCs w:val="32"/>
        </w:rPr>
        <w:t>电子信息领域</w:t>
      </w:r>
    </w:p>
    <w:p w:rsidR="00833631" w:rsidRDefault="005D3D66" w:rsidP="00F33A68">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新型信息材料与器件；网络空间安全智能感知、网络空间异构身份识别与管控、物联网隐私分级与隐私保护机制、网络空间复杂行为的智能分析与治理；智能感知、网络化测控与工业大数据安全；物联网安全理论与技术；车联网、物联网信息处理与大数据分析及应用；类脑智能的大知识与大数据建模；视频大数据结构化技术；移动支付行为识别理论与技术； 认知异构无线网的安全和智能接入。</w:t>
      </w:r>
    </w:p>
    <w:p w:rsidR="00833631" w:rsidRPr="002916E2" w:rsidRDefault="005D3D66" w:rsidP="002916E2">
      <w:pPr>
        <w:spacing w:line="560" w:lineRule="exact"/>
        <w:ind w:firstLineChars="200" w:firstLine="640"/>
        <w:rPr>
          <w:rFonts w:ascii="黑体" w:eastAsia="黑体" w:hAnsi="黑体"/>
          <w:bCs/>
          <w:color w:val="000000"/>
          <w:sz w:val="32"/>
          <w:szCs w:val="32"/>
        </w:rPr>
      </w:pPr>
      <w:r w:rsidRPr="002916E2">
        <w:rPr>
          <w:rFonts w:ascii="黑体" w:eastAsia="黑体" w:hAnsi="黑体" w:hint="eastAsia"/>
          <w:bCs/>
          <w:color w:val="000000"/>
          <w:sz w:val="32"/>
          <w:szCs w:val="32"/>
        </w:rPr>
        <w:t>五</w:t>
      </w:r>
      <w:r w:rsidR="002916E2">
        <w:rPr>
          <w:rFonts w:ascii="黑体" w:eastAsia="黑体" w:hAnsi="黑体" w:hint="eastAsia"/>
          <w:bCs/>
          <w:color w:val="000000"/>
          <w:sz w:val="32"/>
          <w:szCs w:val="32"/>
        </w:rPr>
        <w:t>、</w:t>
      </w:r>
      <w:r w:rsidRPr="002916E2">
        <w:rPr>
          <w:rFonts w:ascii="黑体" w:eastAsia="黑体" w:hAnsi="黑体" w:hint="eastAsia"/>
          <w:bCs/>
          <w:color w:val="000000"/>
          <w:sz w:val="32"/>
          <w:szCs w:val="32"/>
        </w:rPr>
        <w:t>先进制造与工程领域</w:t>
      </w:r>
    </w:p>
    <w:p w:rsidR="00833631" w:rsidRDefault="005D3D66" w:rsidP="00F33A68">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智能制造与网络化制造；新能源、智能汽车；智能、服务、工业机器人及其关键零部件；复杂机电系统的功能原理</w:t>
      </w:r>
      <w:r>
        <w:rPr>
          <w:rFonts w:ascii="方正仿宋_GBK" w:eastAsia="方正仿宋_GBK" w:hint="eastAsia"/>
          <w:color w:val="000000"/>
          <w:sz w:val="32"/>
          <w:szCs w:val="32"/>
        </w:rPr>
        <w:lastRenderedPageBreak/>
        <w:t>与集成科学；基础零部件设计与制造；高档数控机床及关键功能部件；高性能零件、构件的精密制造；高端传感器与仪器仪表主动设计；增材制造工艺与装备；重大工程结构和基础设施的全寿命设计、建造与控制；工程结构全寿命周期下的长期性能演变；绿色海绵城市设计理论与建造技术。</w:t>
      </w:r>
    </w:p>
    <w:p w:rsidR="00833631" w:rsidRPr="002916E2" w:rsidRDefault="005D3D66" w:rsidP="002916E2">
      <w:pPr>
        <w:spacing w:line="560" w:lineRule="exact"/>
        <w:ind w:firstLineChars="200" w:firstLine="640"/>
        <w:rPr>
          <w:rFonts w:ascii="黑体" w:eastAsia="黑体" w:hAnsi="黑体"/>
          <w:bCs/>
          <w:color w:val="000000"/>
          <w:sz w:val="32"/>
          <w:szCs w:val="32"/>
        </w:rPr>
      </w:pPr>
      <w:r w:rsidRPr="002916E2">
        <w:rPr>
          <w:rFonts w:ascii="黑体" w:eastAsia="黑体" w:hAnsi="黑体" w:hint="eastAsia"/>
          <w:bCs/>
          <w:color w:val="000000"/>
          <w:sz w:val="32"/>
          <w:szCs w:val="32"/>
        </w:rPr>
        <w:t>六</w:t>
      </w:r>
      <w:r w:rsidR="002916E2">
        <w:rPr>
          <w:rFonts w:ascii="黑体" w:eastAsia="黑体" w:hAnsi="黑体" w:hint="eastAsia"/>
          <w:bCs/>
          <w:color w:val="000000"/>
          <w:sz w:val="32"/>
          <w:szCs w:val="32"/>
        </w:rPr>
        <w:t>、</w:t>
      </w:r>
      <w:r w:rsidRPr="002916E2">
        <w:rPr>
          <w:rFonts w:ascii="黑体" w:eastAsia="黑体" w:hAnsi="黑体" w:hint="eastAsia"/>
          <w:bCs/>
          <w:color w:val="000000"/>
          <w:sz w:val="32"/>
          <w:szCs w:val="32"/>
        </w:rPr>
        <w:t>材料领域</w:t>
      </w:r>
    </w:p>
    <w:p w:rsidR="00833631" w:rsidRDefault="005D3D66" w:rsidP="00F33A68">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石墨烯及高性能纳米材料；新型光电功能材料；高端交通工具、3C产品、重大装备用高性能轻量化材料；高性能碳纤维、玻璃纤维及复合材料；可降解生物医用结构功能一体化材料；先进材料制备与表征技术；材料科学基础理论、制备与表征技术；材料资源化利用与绿色回收；新一代能源材料。</w:t>
      </w:r>
    </w:p>
    <w:p w:rsidR="00833631" w:rsidRPr="002916E2" w:rsidRDefault="005D3D66" w:rsidP="002916E2">
      <w:pPr>
        <w:spacing w:line="560" w:lineRule="exact"/>
        <w:ind w:firstLineChars="200" w:firstLine="640"/>
        <w:rPr>
          <w:rFonts w:ascii="黑体" w:eastAsia="黑体" w:hAnsi="黑体"/>
          <w:bCs/>
          <w:color w:val="000000"/>
          <w:sz w:val="32"/>
          <w:szCs w:val="32"/>
        </w:rPr>
      </w:pPr>
      <w:r w:rsidRPr="002916E2">
        <w:rPr>
          <w:rFonts w:ascii="黑体" w:eastAsia="黑体" w:hAnsi="黑体" w:hint="eastAsia"/>
          <w:bCs/>
          <w:color w:val="000000"/>
          <w:sz w:val="32"/>
          <w:szCs w:val="32"/>
        </w:rPr>
        <w:t>七</w:t>
      </w:r>
      <w:r w:rsidR="002916E2">
        <w:rPr>
          <w:rFonts w:ascii="黑体" w:eastAsia="黑体" w:hAnsi="黑体" w:hint="eastAsia"/>
          <w:bCs/>
          <w:color w:val="000000"/>
          <w:sz w:val="32"/>
          <w:szCs w:val="32"/>
        </w:rPr>
        <w:t>、</w:t>
      </w:r>
      <w:r w:rsidRPr="002916E2">
        <w:rPr>
          <w:rFonts w:ascii="黑体" w:eastAsia="黑体" w:hAnsi="黑体" w:hint="eastAsia"/>
          <w:bCs/>
          <w:color w:val="000000"/>
          <w:sz w:val="32"/>
          <w:szCs w:val="32"/>
        </w:rPr>
        <w:t>能源领域</w:t>
      </w:r>
    </w:p>
    <w:p w:rsidR="00833631" w:rsidRDefault="005D3D66" w:rsidP="00F33A68">
      <w:pPr>
        <w:spacing w:line="560" w:lineRule="exact"/>
        <w:ind w:firstLineChars="200" w:firstLine="640"/>
        <w:rPr>
          <w:rFonts w:ascii="方正仿宋_GBK" w:eastAsia="方正仿宋_GBK"/>
          <w:color w:val="000000"/>
          <w:sz w:val="32"/>
          <w:szCs w:val="32"/>
        </w:rPr>
      </w:pPr>
      <w:bookmarkStart w:id="1" w:name="_Toc272057301"/>
      <w:r>
        <w:rPr>
          <w:rFonts w:ascii="方正仿宋_GBK" w:eastAsia="方正仿宋_GBK" w:hint="eastAsia"/>
          <w:color w:val="000000"/>
          <w:sz w:val="32"/>
          <w:szCs w:val="32"/>
        </w:rPr>
        <w:t>深地资源的勘探与智能开采；可再生能源（生物质能、风能和太阳能等）;非常规能源（页岩气、煤层气、可燃冰）高效洁净开发与利用；余热、余能等高效回收及资源转化利用；多能源系统（常规能源、非常规能源、可再生能源）高效互补的协同规划和调控运行；能源装备智能化设计、诊断及故障防御；多能源综合利用；智能电网和能源物联网。</w:t>
      </w:r>
    </w:p>
    <w:p w:rsidR="00833631" w:rsidRPr="002916E2" w:rsidRDefault="005D3D66" w:rsidP="002916E2">
      <w:pPr>
        <w:spacing w:line="560" w:lineRule="exact"/>
        <w:ind w:firstLineChars="200" w:firstLine="640"/>
        <w:rPr>
          <w:rFonts w:ascii="黑体" w:eastAsia="黑体" w:hAnsi="黑体"/>
          <w:bCs/>
          <w:color w:val="000000"/>
          <w:sz w:val="32"/>
          <w:szCs w:val="32"/>
        </w:rPr>
      </w:pPr>
      <w:r w:rsidRPr="002916E2">
        <w:rPr>
          <w:rFonts w:ascii="黑体" w:eastAsia="黑体" w:hAnsi="黑体" w:hint="eastAsia"/>
          <w:bCs/>
          <w:color w:val="000000"/>
          <w:sz w:val="32"/>
          <w:szCs w:val="32"/>
        </w:rPr>
        <w:t>八</w:t>
      </w:r>
      <w:r w:rsidR="002916E2">
        <w:rPr>
          <w:rFonts w:ascii="黑体" w:eastAsia="黑体" w:hAnsi="黑体" w:hint="eastAsia"/>
          <w:bCs/>
          <w:color w:val="000000"/>
          <w:sz w:val="32"/>
          <w:szCs w:val="32"/>
        </w:rPr>
        <w:t>、</w:t>
      </w:r>
      <w:r w:rsidRPr="002916E2">
        <w:rPr>
          <w:rFonts w:ascii="黑体" w:eastAsia="黑体" w:hAnsi="黑体" w:hint="eastAsia"/>
          <w:bCs/>
          <w:color w:val="000000"/>
          <w:sz w:val="32"/>
          <w:szCs w:val="32"/>
        </w:rPr>
        <w:t>资源环境领域</w:t>
      </w:r>
      <w:bookmarkEnd w:id="1"/>
    </w:p>
    <w:p w:rsidR="00833631" w:rsidRDefault="005D3D66" w:rsidP="00F33A68">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峡库区资源保护与可持续利用；区域生态环境演化、风险评估与防控机制；大气和饮用水复合污染机制、毒理效应与控制原理；PM2.5和O3的协同防控机制；固体废弃物处理处置与资源化；天气、气候与大气环境变化的过程机制</w:t>
      </w:r>
      <w:r>
        <w:rPr>
          <w:rFonts w:ascii="方正仿宋_GBK" w:eastAsia="方正仿宋_GBK" w:hint="eastAsia"/>
          <w:color w:val="000000"/>
          <w:sz w:val="32"/>
          <w:szCs w:val="32"/>
        </w:rPr>
        <w:lastRenderedPageBreak/>
        <w:t>及健康效应；水土资源演变与调控；地球观测与信息提取的新途径和新技术；水土资源演变与调控；污染物多介质环境过程、效应及控制；重大环境灾害预警与防控；污染物多介质环境过程、效应及控制；人类活动对生态环境的影响。</w:t>
      </w:r>
    </w:p>
    <w:p w:rsidR="00833631" w:rsidRPr="002916E2" w:rsidRDefault="005D3D66" w:rsidP="002916E2">
      <w:pPr>
        <w:spacing w:line="560" w:lineRule="exact"/>
        <w:ind w:firstLineChars="200" w:firstLine="640"/>
        <w:rPr>
          <w:rFonts w:ascii="黑体" w:eastAsia="黑体" w:hAnsi="黑体"/>
          <w:bCs/>
          <w:color w:val="000000"/>
          <w:sz w:val="32"/>
          <w:szCs w:val="32"/>
        </w:rPr>
      </w:pPr>
      <w:r w:rsidRPr="002916E2">
        <w:rPr>
          <w:rFonts w:ascii="黑体" w:eastAsia="黑体" w:hAnsi="黑体" w:hint="eastAsia"/>
          <w:bCs/>
          <w:color w:val="000000"/>
          <w:sz w:val="32"/>
          <w:szCs w:val="32"/>
        </w:rPr>
        <w:t>九</w:t>
      </w:r>
      <w:r w:rsidR="002916E2">
        <w:rPr>
          <w:rFonts w:ascii="黑体" w:eastAsia="黑体" w:hAnsi="黑体" w:hint="eastAsia"/>
          <w:bCs/>
          <w:color w:val="000000"/>
          <w:sz w:val="32"/>
          <w:szCs w:val="32"/>
        </w:rPr>
        <w:t>、</w:t>
      </w:r>
      <w:r w:rsidRPr="002916E2">
        <w:rPr>
          <w:rFonts w:ascii="黑体" w:eastAsia="黑体" w:hAnsi="黑体" w:hint="eastAsia"/>
          <w:bCs/>
          <w:color w:val="000000"/>
          <w:sz w:val="32"/>
          <w:szCs w:val="32"/>
        </w:rPr>
        <w:t>综合交叉领域</w:t>
      </w:r>
    </w:p>
    <w:p w:rsidR="00833631" w:rsidRDefault="005D3D66" w:rsidP="00F33A68">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数学不同分支学科间的交叉研究；教育信息交叉科学与技术；大规模高性能科学计算；个性化人体模型的研究；针对生命科学的学科交叉与技术整合；多相复杂系统中的介尺度结构；可控自组装体系及其功能化；科学考察、计量基准标准、物种标本、科学数据等基础性研究；其他可望取得重大突破的科学前沿交叉综合研究。</w:t>
      </w:r>
    </w:p>
    <w:p w:rsidR="00833631" w:rsidRDefault="005D3D66" w:rsidP="00F33A68">
      <w:pPr>
        <w:pStyle w:val="Style40"/>
        <w:spacing w:line="560" w:lineRule="exact"/>
      </w:pPr>
      <w:r>
        <w:t>窗体顶端</w:t>
      </w:r>
    </w:p>
    <w:p w:rsidR="00833631" w:rsidRDefault="005D3D66" w:rsidP="00F33A68">
      <w:pPr>
        <w:pStyle w:val="Style41"/>
        <w:spacing w:line="560" w:lineRule="exact"/>
      </w:pPr>
      <w:r>
        <w:t>窗体底端</w:t>
      </w:r>
    </w:p>
    <w:p w:rsidR="00833631" w:rsidRDefault="00833631" w:rsidP="00F33A68">
      <w:pPr>
        <w:spacing w:line="560" w:lineRule="exact"/>
        <w:ind w:firstLineChars="200" w:firstLine="640"/>
        <w:rPr>
          <w:rFonts w:ascii="方正仿宋_GBK" w:eastAsia="方正仿宋_GBK"/>
          <w:color w:val="000000"/>
          <w:sz w:val="32"/>
          <w:szCs w:val="32"/>
        </w:rPr>
      </w:pPr>
    </w:p>
    <w:p w:rsidR="00833631" w:rsidRDefault="005D3D66" w:rsidP="00F33A68">
      <w:pPr>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br w:type="page"/>
      </w:r>
    </w:p>
    <w:sectPr w:rsidR="00833631" w:rsidSect="000D302E">
      <w:pgSz w:w="11906" w:h="16838"/>
      <w:pgMar w:top="1440" w:right="1800" w:bottom="1440" w:left="180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CB9" w:rsidRDefault="00592CB9">
      <w:r>
        <w:separator/>
      </w:r>
    </w:p>
  </w:endnote>
  <w:endnote w:type="continuationSeparator" w:id="0">
    <w:p w:rsidR="00592CB9" w:rsidRDefault="0059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CB9" w:rsidRDefault="00592CB9">
      <w:r>
        <w:separator/>
      </w:r>
    </w:p>
  </w:footnote>
  <w:footnote w:type="continuationSeparator" w:id="0">
    <w:p w:rsidR="00592CB9" w:rsidRDefault="00592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8739"/>
    <w:multiLevelType w:val="singleLevel"/>
    <w:tmpl w:val="07A18739"/>
    <w:lvl w:ilvl="0">
      <w:start w:val="2"/>
      <w:numFmt w:val="chineseCounting"/>
      <w:suff w:val="nothing"/>
      <w:lvlText w:val="%1、"/>
      <w:lvlJc w:val="left"/>
      <w:rPr>
        <w:rFonts w:hint="eastAsia"/>
      </w:rPr>
    </w:lvl>
  </w:abstractNum>
  <w:abstractNum w:abstractNumId="1" w15:restartNumberingAfterBreak="0">
    <w:nsid w:val="5A45FEC0"/>
    <w:multiLevelType w:val="singleLevel"/>
    <w:tmpl w:val="5A45FEC0"/>
    <w:lvl w:ilvl="0">
      <w:start w:val="3"/>
      <w:numFmt w:val="chineseCounting"/>
      <w:suff w:val="nothing"/>
      <w:lvlText w:val="%1、"/>
      <w:lvlJc w:val="left"/>
    </w:lvl>
  </w:abstractNum>
  <w:abstractNum w:abstractNumId="2" w15:restartNumberingAfterBreak="0">
    <w:nsid w:val="5A4C91E0"/>
    <w:multiLevelType w:val="singleLevel"/>
    <w:tmpl w:val="5A4C91E0"/>
    <w:lvl w:ilvl="0">
      <w:start w:val="1"/>
      <w:numFmt w:val="decimal"/>
      <w:suff w:val="space"/>
      <w:lvlText w:val="%1."/>
      <w:lvlJc w:val="left"/>
    </w:lvl>
  </w:abstractNum>
  <w:abstractNum w:abstractNumId="3" w15:restartNumberingAfterBreak="0">
    <w:nsid w:val="5EE80942"/>
    <w:multiLevelType w:val="singleLevel"/>
    <w:tmpl w:val="5EE80942"/>
    <w:lvl w:ilvl="0">
      <w:start w:val="3"/>
      <w:numFmt w:val="chineseCounting"/>
      <w:suff w:val="nothing"/>
      <w:lvlText w:val="%1、"/>
      <w:lvlJc w:val="left"/>
      <w:pPr>
        <w:ind w:left="872" w:firstLine="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48"/>
  <w:drawingGridVerticalSpacing w:val="31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C8"/>
    <w:rsid w:val="00014B2C"/>
    <w:rsid w:val="00020E70"/>
    <w:rsid w:val="000D302E"/>
    <w:rsid w:val="001038E8"/>
    <w:rsid w:val="001049DF"/>
    <w:rsid w:val="00130817"/>
    <w:rsid w:val="00146827"/>
    <w:rsid w:val="002916E2"/>
    <w:rsid w:val="002A6D49"/>
    <w:rsid w:val="0038117A"/>
    <w:rsid w:val="003862C8"/>
    <w:rsid w:val="00421AE0"/>
    <w:rsid w:val="0048667B"/>
    <w:rsid w:val="004A3515"/>
    <w:rsid w:val="00503BBD"/>
    <w:rsid w:val="00543EDE"/>
    <w:rsid w:val="00592CB9"/>
    <w:rsid w:val="005D3D66"/>
    <w:rsid w:val="00605D57"/>
    <w:rsid w:val="006E2BBC"/>
    <w:rsid w:val="00833631"/>
    <w:rsid w:val="008C50AA"/>
    <w:rsid w:val="00900E72"/>
    <w:rsid w:val="009465D6"/>
    <w:rsid w:val="00A23725"/>
    <w:rsid w:val="00A45A1A"/>
    <w:rsid w:val="00A57143"/>
    <w:rsid w:val="00B16C9E"/>
    <w:rsid w:val="00C553B7"/>
    <w:rsid w:val="00D7458E"/>
    <w:rsid w:val="00F32C7D"/>
    <w:rsid w:val="00F33A68"/>
    <w:rsid w:val="00F37D24"/>
    <w:rsid w:val="00FE3797"/>
    <w:rsid w:val="013A5714"/>
    <w:rsid w:val="02DA5134"/>
    <w:rsid w:val="06835350"/>
    <w:rsid w:val="079A3F53"/>
    <w:rsid w:val="07FB0814"/>
    <w:rsid w:val="09583A9E"/>
    <w:rsid w:val="0C1F117A"/>
    <w:rsid w:val="0D1C13AD"/>
    <w:rsid w:val="191548F6"/>
    <w:rsid w:val="1B1554C4"/>
    <w:rsid w:val="1B305DD3"/>
    <w:rsid w:val="2323256A"/>
    <w:rsid w:val="254A5658"/>
    <w:rsid w:val="26192603"/>
    <w:rsid w:val="26BD5A7C"/>
    <w:rsid w:val="26C673C1"/>
    <w:rsid w:val="2929212E"/>
    <w:rsid w:val="31161CE0"/>
    <w:rsid w:val="34F94373"/>
    <w:rsid w:val="36593A43"/>
    <w:rsid w:val="43A04F0C"/>
    <w:rsid w:val="470C01E0"/>
    <w:rsid w:val="4A484917"/>
    <w:rsid w:val="4A4B718A"/>
    <w:rsid w:val="4A6E55A3"/>
    <w:rsid w:val="4CB05BDE"/>
    <w:rsid w:val="4F01178D"/>
    <w:rsid w:val="5035133B"/>
    <w:rsid w:val="50CB1B55"/>
    <w:rsid w:val="53697DA7"/>
    <w:rsid w:val="548F1B43"/>
    <w:rsid w:val="5CB5268D"/>
    <w:rsid w:val="5CE35FB7"/>
    <w:rsid w:val="620A5FC1"/>
    <w:rsid w:val="63814A44"/>
    <w:rsid w:val="63AE5BFC"/>
    <w:rsid w:val="64515465"/>
    <w:rsid w:val="6A475123"/>
    <w:rsid w:val="708F0094"/>
    <w:rsid w:val="721750F2"/>
    <w:rsid w:val="73E62D76"/>
    <w:rsid w:val="77E654C8"/>
    <w:rsid w:val="78154B28"/>
    <w:rsid w:val="7AFC14B7"/>
    <w:rsid w:val="7FED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B9E6CE-296F-41CC-81B5-D74D5516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2">
    <w:name w:val="Body Text Indent 2"/>
    <w:basedOn w:val="a"/>
    <w:uiPriority w:val="99"/>
    <w:unhideWhenUsed/>
    <w:qFormat/>
    <w:pPr>
      <w:spacing w:line="360" w:lineRule="auto"/>
      <w:ind w:firstLineChars="260" w:firstLine="780"/>
    </w:pPr>
    <w:rPr>
      <w:spacing w:val="10"/>
      <w:sz w:val="28"/>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line="336" w:lineRule="auto"/>
      <w:jc w:val="left"/>
    </w:pPr>
    <w:rPr>
      <w:rFonts w:ascii="宋体" w:eastAsia="宋体" w:hAnsi="宋体" w:cs="宋体"/>
      <w:kern w:val="0"/>
      <w:sz w:val="20"/>
      <w:szCs w:val="20"/>
    </w:rPr>
  </w:style>
  <w:style w:type="character" w:styleId="a8">
    <w:name w:val="page number"/>
    <w:basedOn w:val="a0"/>
    <w:uiPriority w:val="99"/>
    <w:unhideWhenUsed/>
    <w:qFormat/>
  </w:style>
  <w:style w:type="character" w:styleId="a9">
    <w:name w:val="FollowedHyperlink"/>
    <w:basedOn w:val="a0"/>
    <w:uiPriority w:val="99"/>
    <w:unhideWhenUsed/>
    <w:qFormat/>
    <w:rPr>
      <w:color w:val="A41DC4"/>
      <w:u w:val="none"/>
    </w:rPr>
  </w:style>
  <w:style w:type="character" w:styleId="aa">
    <w:name w:val="Emphasis"/>
    <w:basedOn w:val="a0"/>
    <w:uiPriority w:val="20"/>
    <w:qFormat/>
  </w:style>
  <w:style w:type="character" w:styleId="HTML">
    <w:name w:val="HTML Definition"/>
    <w:basedOn w:val="a0"/>
    <w:uiPriority w:val="99"/>
    <w:unhideWhenUsed/>
    <w:qFormat/>
  </w:style>
  <w:style w:type="character" w:styleId="HTML0">
    <w:name w:val="HTML Acronym"/>
    <w:basedOn w:val="a0"/>
    <w:uiPriority w:val="99"/>
    <w:unhideWhenUsed/>
    <w:qFormat/>
  </w:style>
  <w:style w:type="character" w:styleId="HTML1">
    <w:name w:val="HTML Variable"/>
    <w:basedOn w:val="a0"/>
    <w:uiPriority w:val="99"/>
    <w:unhideWhenUsed/>
    <w:qFormat/>
  </w:style>
  <w:style w:type="character" w:styleId="ab">
    <w:name w:val="Hyperlink"/>
    <w:basedOn w:val="a0"/>
    <w:uiPriority w:val="99"/>
    <w:unhideWhenUsed/>
    <w:qFormat/>
    <w:rPr>
      <w:color w:val="0B3ACF"/>
      <w:u w:val="none"/>
    </w:rPr>
  </w:style>
  <w:style w:type="character" w:styleId="HTML2">
    <w:name w:val="HTML Code"/>
    <w:basedOn w:val="a0"/>
    <w:uiPriority w:val="99"/>
    <w:unhideWhenUsed/>
    <w:qFormat/>
    <w:rPr>
      <w:rFonts w:ascii="微软雅黑" w:eastAsia="微软雅黑" w:hAnsi="微软雅黑" w:cs="微软雅黑"/>
      <w:sz w:val="21"/>
      <w:szCs w:val="21"/>
    </w:rPr>
  </w:style>
  <w:style w:type="character" w:styleId="HTML3">
    <w:name w:val="HTML Cite"/>
    <w:basedOn w:val="a0"/>
    <w:uiPriority w:val="99"/>
    <w:unhideWhenUsed/>
    <w:qFormat/>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character" w:customStyle="1" w:styleId="fh2">
    <w:name w:val="fh2"/>
    <w:basedOn w:val="a0"/>
    <w:qFormat/>
  </w:style>
  <w:style w:type="character" w:customStyle="1" w:styleId="fh6">
    <w:name w:val="fh6"/>
    <w:basedOn w:val="a0"/>
    <w:qFormat/>
  </w:style>
  <w:style w:type="character" w:customStyle="1" w:styleId="fh0">
    <w:name w:val="fh0"/>
    <w:basedOn w:val="a0"/>
    <w:qFormat/>
  </w:style>
  <w:style w:type="character" w:customStyle="1" w:styleId="fh4">
    <w:name w:val="fh4"/>
    <w:basedOn w:val="a0"/>
    <w:qFormat/>
  </w:style>
  <w:style w:type="character" w:customStyle="1" w:styleId="fh1">
    <w:name w:val="fh1"/>
    <w:basedOn w:val="a0"/>
    <w:qFormat/>
  </w:style>
  <w:style w:type="character" w:customStyle="1" w:styleId="fh3">
    <w:name w:val="fh3"/>
    <w:basedOn w:val="a0"/>
    <w:qFormat/>
  </w:style>
  <w:style w:type="character" w:customStyle="1" w:styleId="fh5">
    <w:name w:val="fh5"/>
    <w:basedOn w:val="a0"/>
    <w:qFormat/>
  </w:style>
  <w:style w:type="paragraph" w:customStyle="1" w:styleId="Style22">
    <w:name w:val="_Style 22"/>
    <w:basedOn w:val="a"/>
    <w:next w:val="a"/>
    <w:qFormat/>
    <w:pPr>
      <w:pBdr>
        <w:bottom w:val="single" w:sz="6" w:space="1" w:color="auto"/>
      </w:pBdr>
      <w:jc w:val="center"/>
    </w:pPr>
    <w:rPr>
      <w:rFonts w:ascii="Arial" w:eastAsia="宋体"/>
      <w:vanish/>
      <w:sz w:val="16"/>
    </w:rPr>
  </w:style>
  <w:style w:type="paragraph" w:customStyle="1" w:styleId="Style23">
    <w:name w:val="_Style 23"/>
    <w:basedOn w:val="a"/>
    <w:next w:val="a"/>
    <w:qFormat/>
    <w:pPr>
      <w:pBdr>
        <w:top w:val="single" w:sz="6" w:space="1" w:color="auto"/>
      </w:pBdr>
      <w:jc w:val="center"/>
    </w:pPr>
    <w:rPr>
      <w:rFonts w:ascii="Arial" w:eastAsia="宋体"/>
      <w:vanish/>
      <w:sz w:val="16"/>
    </w:rPr>
  </w:style>
  <w:style w:type="character" w:customStyle="1" w:styleId="dropselectbox">
    <w:name w:val="dropselect_box"/>
    <w:basedOn w:val="a0"/>
    <w:qFormat/>
  </w:style>
  <w:style w:type="character" w:customStyle="1" w:styleId="dropselectbox1">
    <w:name w:val="dropselect_box1"/>
    <w:basedOn w:val="a0"/>
    <w:qFormat/>
    <w:rPr>
      <w:bdr w:val="single" w:sz="6" w:space="0" w:color="E2E2E2"/>
    </w:rPr>
  </w:style>
  <w:style w:type="character" w:customStyle="1" w:styleId="hj-easyread-speakerprocesser-position-action-icon">
    <w:name w:val="hj-easyread-speakerprocesser-position-action-icon"/>
    <w:basedOn w:val="a0"/>
    <w:qFormat/>
  </w:style>
  <w:style w:type="paragraph" w:customStyle="1" w:styleId="Style33">
    <w:name w:val="_Style 33"/>
    <w:basedOn w:val="a"/>
    <w:next w:val="a"/>
    <w:qFormat/>
    <w:pPr>
      <w:pBdr>
        <w:bottom w:val="single" w:sz="6" w:space="1" w:color="auto"/>
      </w:pBdr>
      <w:jc w:val="center"/>
    </w:pPr>
    <w:rPr>
      <w:rFonts w:ascii="Arial" w:eastAsia="宋体"/>
      <w:vanish/>
      <w:sz w:val="16"/>
    </w:rPr>
  </w:style>
  <w:style w:type="paragraph" w:customStyle="1" w:styleId="Style34">
    <w:name w:val="_Style 34"/>
    <w:basedOn w:val="a"/>
    <w:next w:val="a"/>
    <w:qFormat/>
    <w:pPr>
      <w:pBdr>
        <w:top w:val="single" w:sz="6" w:space="1" w:color="auto"/>
      </w:pBdr>
      <w:jc w:val="center"/>
    </w:pPr>
    <w:rPr>
      <w:rFonts w:ascii="Arial" w:eastAsia="宋体"/>
      <w:vanish/>
      <w:sz w:val="16"/>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38">
    <w:name w:val="_Style 38"/>
    <w:basedOn w:val="a"/>
    <w:next w:val="a"/>
    <w:qFormat/>
    <w:pPr>
      <w:pBdr>
        <w:bottom w:val="single" w:sz="6" w:space="1" w:color="auto"/>
      </w:pBdr>
      <w:jc w:val="center"/>
    </w:pPr>
    <w:rPr>
      <w:rFonts w:ascii="Arial" w:eastAsia="宋体"/>
      <w:vanish/>
      <w:sz w:val="16"/>
    </w:rPr>
  </w:style>
  <w:style w:type="paragraph" w:customStyle="1" w:styleId="Style39">
    <w:name w:val="_Style 39"/>
    <w:basedOn w:val="a"/>
    <w:next w:val="a"/>
    <w:qFormat/>
    <w:pPr>
      <w:pBdr>
        <w:top w:val="single" w:sz="6" w:space="1" w:color="auto"/>
      </w:pBdr>
      <w:jc w:val="center"/>
    </w:pPr>
    <w:rPr>
      <w:rFonts w:ascii="Arial" w:eastAsia="宋体"/>
      <w:vanish/>
      <w:sz w:val="16"/>
    </w:rPr>
  </w:style>
  <w:style w:type="paragraph" w:customStyle="1" w:styleId="Style40">
    <w:name w:val="_Style 40"/>
    <w:basedOn w:val="a"/>
    <w:next w:val="a"/>
    <w:pPr>
      <w:pBdr>
        <w:bottom w:val="single" w:sz="6" w:space="1" w:color="auto"/>
      </w:pBdr>
      <w:jc w:val="center"/>
    </w:pPr>
    <w:rPr>
      <w:rFonts w:ascii="Arial" w:eastAsia="宋体"/>
      <w:vanish/>
      <w:sz w:val="16"/>
    </w:rPr>
  </w:style>
  <w:style w:type="paragraph" w:customStyle="1" w:styleId="Style41">
    <w:name w:val="_Style 41"/>
    <w:basedOn w:val="a"/>
    <w:next w:val="a"/>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274</Words>
  <Characters>1564</Characters>
  <Application>Microsoft Office Word</Application>
  <DocSecurity>0</DocSecurity>
  <Lines>13</Lines>
  <Paragraphs>3</Paragraphs>
  <ScaleCrop>false</ScaleCrop>
  <Company>Microsoft</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94</cp:revision>
  <cp:lastPrinted>2018-01-04T08:15:00Z</cp:lastPrinted>
  <dcterms:created xsi:type="dcterms:W3CDTF">2017-01-14T03:32:00Z</dcterms:created>
  <dcterms:modified xsi:type="dcterms:W3CDTF">2018-01-18T08:34:00Z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