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w:t>
      </w:r>
      <w:r>
        <w:rPr>
          <w:rFonts w:hint="eastAsia" w:ascii="方正小标宋_GBK" w:hAnsi="宋体" w:eastAsia="方正小标宋_GBK" w:cs="宋体"/>
          <w:bCs/>
          <w:kern w:val="0"/>
          <w:sz w:val="44"/>
          <w:szCs w:val="44"/>
          <w:lang w:val="en-US" w:eastAsia="zh-CN"/>
        </w:rPr>
        <w:t>市</w:t>
      </w:r>
      <w:r>
        <w:rPr>
          <w:rFonts w:hint="eastAsia" w:ascii="方正小标宋_GBK" w:hAnsi="宋体" w:eastAsia="方正小标宋_GBK" w:cs="宋体"/>
          <w:bCs/>
          <w:kern w:val="0"/>
          <w:sz w:val="44"/>
          <w:szCs w:val="44"/>
        </w:rPr>
        <w:t>第七届大学生艺术展演活动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高校美育改革创新优秀案例实施方案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微软雅黑" w:eastAsia="方正仿宋_GBK" w:cs="宋体"/>
          <w:color w:val="0000FF"/>
          <w:kern w:val="0"/>
          <w:sz w:val="32"/>
          <w:szCs w:val="32"/>
        </w:rPr>
      </w:pPr>
      <w:r>
        <w:rPr>
          <w:rFonts w:hint="eastAsia" w:ascii="方正仿宋_GBK" w:eastAsia="方正仿宋_GBK"/>
          <w:color w:val="000000"/>
          <w:sz w:val="32"/>
          <w:szCs w:val="32"/>
        </w:rPr>
        <w:t>根据《</w:t>
      </w:r>
      <w:r>
        <w:rPr>
          <w:rFonts w:hint="eastAsia" w:ascii="方正仿宋_GBK" w:hAnsi="方正小标宋_GBK" w:eastAsia="方正仿宋_GBK" w:cs="方正小标宋_GBK"/>
          <w:bCs/>
          <w:color w:val="000000"/>
          <w:kern w:val="0"/>
          <w:sz w:val="32"/>
          <w:szCs w:val="32"/>
        </w:rPr>
        <w:t>重庆市教育委员会关于印发重庆市第七届大学生艺术展演活动实施方案的通知</w:t>
      </w:r>
      <w:r>
        <w:rPr>
          <w:rFonts w:hint="eastAsia" w:ascii="方正仿宋_GBK" w:eastAsia="方正仿宋_GBK"/>
          <w:color w:val="000000"/>
          <w:sz w:val="32"/>
          <w:szCs w:val="32"/>
        </w:rPr>
        <w:t>》</w:t>
      </w:r>
      <w:r>
        <w:rPr>
          <w:rFonts w:hint="eastAsia" w:ascii="方正仿宋_GBK" w:hAnsi="方正小标宋_GBK" w:eastAsia="方正仿宋_GBK" w:cs="方正小标宋_GBK"/>
          <w:bCs/>
          <w:color w:val="000000"/>
          <w:kern w:val="0"/>
          <w:sz w:val="32"/>
          <w:szCs w:val="32"/>
        </w:rPr>
        <w:t>（</w:t>
      </w:r>
      <w:r>
        <w:rPr>
          <w:rFonts w:hint="eastAsia" w:ascii="方正仿宋_GBK" w:hAnsi="Times New Roman" w:eastAsia="方正仿宋_GBK"/>
          <w:color w:val="000000"/>
          <w:sz w:val="32"/>
          <w:szCs w:val="32"/>
        </w:rPr>
        <w:t>渝教</w:t>
      </w:r>
      <w:r>
        <w:rPr>
          <w:rFonts w:hint="default" w:ascii="Times New Roman" w:hAnsi="Times New Roman" w:eastAsia="方正仿宋_GBK" w:cs="Times New Roman"/>
          <w:color w:val="000000"/>
          <w:sz w:val="32"/>
          <w:szCs w:val="32"/>
        </w:rPr>
        <w:t>体卫艺发〔2023〕11号）要求</w:t>
      </w:r>
      <w:r>
        <w:rPr>
          <w:rFonts w:hint="eastAsia" w:ascii="方正仿宋_GBK" w:hAnsi="方正小标宋_GBK" w:eastAsia="方正仿宋_GBK" w:cs="方正小标宋_GBK"/>
          <w:bCs/>
          <w:kern w:val="0"/>
          <w:sz w:val="32"/>
          <w:szCs w:val="32"/>
        </w:rPr>
        <w:t>，</w:t>
      </w:r>
      <w:r>
        <w:rPr>
          <w:rFonts w:hint="eastAsia" w:ascii="方正仿宋_GBK" w:eastAsia="方正仿宋_GBK"/>
          <w:sz w:val="32"/>
          <w:szCs w:val="32"/>
        </w:rPr>
        <w:t>制定</w:t>
      </w:r>
      <w:r>
        <w:rPr>
          <w:rFonts w:hint="eastAsia" w:ascii="方正仿宋_GBK" w:hAnsi="方正小标宋_GBK" w:eastAsia="方正仿宋_GBK" w:cs="方正小标宋_GBK"/>
          <w:bCs/>
          <w:color w:val="000000"/>
          <w:kern w:val="0"/>
          <w:sz w:val="32"/>
          <w:szCs w:val="32"/>
        </w:rPr>
        <w:t>高校美育改革创新优秀案例实施方案。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val="en-US" w:eastAsia="zh-CN"/>
        </w:rPr>
        <w:t>一</w:t>
      </w:r>
      <w:r>
        <w:rPr>
          <w:rFonts w:hint="eastAsia" w:ascii="方正黑体_GBK" w:eastAsia="方正黑体_GBK"/>
          <w:sz w:val="32"/>
          <w:szCs w:val="32"/>
        </w:rPr>
        <w:t>、</w:t>
      </w:r>
      <w:r>
        <w:rPr>
          <w:rFonts w:hint="eastAsia" w:ascii="方正黑体_GBK" w:eastAsia="方正黑体_GBK"/>
          <w:sz w:val="32"/>
          <w:szCs w:val="32"/>
          <w:lang w:val="en-US" w:eastAsia="zh-CN"/>
        </w:rPr>
        <w:t>参赛</w:t>
      </w:r>
      <w:r>
        <w:rPr>
          <w:rFonts w:hint="eastAsia" w:ascii="方正黑体_GBK" w:eastAsia="方正黑体_GBK"/>
          <w:sz w:val="32"/>
          <w:szCs w:val="32"/>
        </w:rPr>
        <w:t>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华文中宋" w:eastAsia="方正仿宋_GBK"/>
          <w:sz w:val="32"/>
          <w:szCs w:val="32"/>
        </w:rPr>
      </w:pPr>
      <w:r>
        <w:rPr>
          <w:rFonts w:hint="eastAsia" w:ascii="方正仿宋_GBK" w:hAnsi="华文中宋" w:eastAsia="方正仿宋_GBK"/>
          <w:sz w:val="32"/>
          <w:szCs w:val="32"/>
          <w:lang w:val="en-US" w:eastAsia="zh-CN"/>
        </w:rPr>
        <w:t>学校全体</w:t>
      </w:r>
      <w:r>
        <w:rPr>
          <w:rFonts w:hint="eastAsia" w:ascii="方正仿宋_GBK" w:hAnsi="华文中宋" w:eastAsia="方正仿宋_GBK"/>
          <w:sz w:val="32"/>
          <w:szCs w:val="32"/>
        </w:rPr>
        <w:t>教师</w:t>
      </w:r>
      <w:r>
        <w:rPr>
          <w:rFonts w:hint="eastAsia" w:ascii="方正仿宋_GBK" w:hAnsi="华文中宋" w:eastAsia="方正仿宋_GBK"/>
          <w:sz w:val="32"/>
          <w:szCs w:val="32"/>
          <w:lang w:eastAsia="zh-CN"/>
        </w:rPr>
        <w:t>、</w:t>
      </w:r>
      <w:r>
        <w:rPr>
          <w:rFonts w:hint="eastAsia" w:ascii="方正仿宋_GBK" w:hAnsi="华文中宋" w:eastAsia="方正仿宋_GBK"/>
          <w:sz w:val="32"/>
          <w:szCs w:val="32"/>
        </w:rPr>
        <w:t>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lang w:val="en-US" w:eastAsia="zh-CN"/>
        </w:rPr>
        <w:t>二</w:t>
      </w:r>
      <w:r>
        <w:rPr>
          <w:rFonts w:hint="eastAsia" w:ascii="方正黑体_GBK" w:eastAsia="方正黑体_GBK"/>
          <w:sz w:val="32"/>
          <w:szCs w:val="32"/>
        </w:rPr>
        <w:t>、选题范围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华文中宋" w:eastAsia="方正仿宋_GBK"/>
          <w:sz w:val="32"/>
          <w:szCs w:val="32"/>
        </w:rPr>
        <w:t>案例一般应包括背景、做法、成效、探讨等要素。应主题突出、层次分明</w:t>
      </w:r>
      <w:r>
        <w:rPr>
          <w:rFonts w:hint="default" w:ascii="Times New Roman" w:hAnsi="Times New Roman" w:eastAsia="方正仿宋_GBK" w:cs="Times New Roman"/>
          <w:sz w:val="32"/>
          <w:szCs w:val="32"/>
        </w:rPr>
        <w:t>、特色鲜明、资料翔实、语言生动，富有感染力。案例摘要300字左右，正文不超过5000字。展演活动重点围绕以下选题内容征集优秀案例。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（一）高校美育专兼职教师队伍建设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（二）高校公共艺术课程建设与推进模式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（三）高校美育评价体系建设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（四）高校学生艺术社团及实践工作坊建设</w:t>
      </w:r>
    </w:p>
    <w:p>
      <w:pPr>
        <w:keepNext w:val="0"/>
        <w:keepLines w:val="0"/>
        <w:pageBreakBefore w:val="0"/>
        <w:widowControl w:val="0"/>
        <w:kinsoku/>
        <w:wordWrap/>
        <w:overflowPunct/>
        <w:topLinePunct w:val="0"/>
        <w:autoSpaceDE/>
        <w:autoSpaceDN/>
        <w:bidi w:val="0"/>
        <w:adjustRightInd/>
        <w:snapToGrid/>
        <w:spacing w:line="600" w:lineRule="exact"/>
        <w:ind w:left="638" w:leftChars="30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（五）中华优秀传统文化传承基地建设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（六）高校开展美育浸润行动经验做法</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（七）高校美育资源与社会艺术资源共享共建典型做法</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（八）高校名师工作室建设经验做法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、选题原则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w:t>
      </w:r>
      <w:r>
        <w:rPr>
          <w:rFonts w:hint="default" w:ascii="Times New Roman" w:hAnsi="Times New Roman" w:eastAsia="方正仿宋_GBK" w:cs="Times New Roman"/>
          <w:b/>
          <w:bCs/>
          <w:sz w:val="32"/>
          <w:szCs w:val="32"/>
        </w:rPr>
        <w:t>真实性</w:t>
      </w:r>
      <w:r>
        <w:rPr>
          <w:rFonts w:hint="default" w:ascii="Times New Roman" w:hAnsi="Times New Roman" w:eastAsia="方正楷体_GBK" w:cs="Times New Roman"/>
          <w:b/>
          <w:bCs/>
          <w:sz w:val="32"/>
          <w:szCs w:val="32"/>
        </w:rPr>
        <w:t>。</w:t>
      </w:r>
      <w:r>
        <w:rPr>
          <w:rFonts w:hint="default" w:ascii="Times New Roman" w:hAnsi="Times New Roman" w:eastAsia="方正仿宋_GBK" w:cs="Times New Roman"/>
          <w:sz w:val="32"/>
          <w:szCs w:val="32"/>
        </w:rPr>
        <w:t>因地因校制宜、从实际出发，充分体现时代要求和人民需求，禁止虚构、杜撰和抄袭。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（二）</w:t>
      </w:r>
      <w:r>
        <w:rPr>
          <w:rFonts w:hint="default" w:ascii="Times New Roman" w:hAnsi="Times New Roman" w:eastAsia="方正仿宋_GBK" w:cs="Times New Roman"/>
          <w:b/>
          <w:bCs/>
          <w:sz w:val="32"/>
          <w:szCs w:val="32"/>
        </w:rPr>
        <w:t>创新性。</w:t>
      </w:r>
      <w:r>
        <w:rPr>
          <w:rFonts w:hint="default" w:ascii="Times New Roman" w:hAnsi="Times New Roman" w:eastAsia="方正仿宋_GBK" w:cs="Times New Roman"/>
          <w:sz w:val="32"/>
          <w:szCs w:val="32"/>
        </w:rPr>
        <w:t>以体制机制创新为突破口，为推进高校美育改革发展进行积极探索，方法上有创新，措施上有亮点。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（三）</w:t>
      </w:r>
      <w:r>
        <w:rPr>
          <w:rFonts w:hint="default" w:ascii="Times New Roman" w:hAnsi="Times New Roman" w:eastAsia="方正仿宋_GBK" w:cs="Times New Roman"/>
          <w:b/>
          <w:bCs/>
          <w:sz w:val="32"/>
          <w:szCs w:val="32"/>
        </w:rPr>
        <w:t>实效性。</w:t>
      </w:r>
      <w:r>
        <w:rPr>
          <w:rFonts w:hint="default" w:ascii="Times New Roman" w:hAnsi="Times New Roman" w:eastAsia="方正仿宋_GBK" w:cs="Times New Roman"/>
          <w:sz w:val="32"/>
          <w:szCs w:val="32"/>
        </w:rPr>
        <w:t>对高校美育改革发展具有明显的推进作用，取得积极、良好的效果，得到广泛关注和认可。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（四）</w:t>
      </w:r>
      <w:r>
        <w:rPr>
          <w:rFonts w:hint="default" w:ascii="Times New Roman" w:hAnsi="Times New Roman" w:eastAsia="方正仿宋_GBK" w:cs="Times New Roman"/>
          <w:b/>
          <w:bCs/>
          <w:sz w:val="32"/>
          <w:szCs w:val="32"/>
        </w:rPr>
        <w:t>典型性。</w:t>
      </w:r>
      <w:r>
        <w:rPr>
          <w:rFonts w:hint="default" w:ascii="Times New Roman" w:hAnsi="Times New Roman" w:eastAsia="方正仿宋_GBK" w:cs="Times New Roman"/>
          <w:sz w:val="32"/>
          <w:szCs w:val="32"/>
        </w:rPr>
        <w:t>具有一定的代表性，对其他地区、学校具有借鉴意义和应用价值。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、报送要求</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val="0"/>
          <w:bCs w:val="0"/>
          <w:kern w:val="2"/>
          <w:sz w:val="32"/>
          <w:szCs w:val="32"/>
        </w:rPr>
        <w:t>（</w:t>
      </w:r>
      <w:r>
        <w:rPr>
          <w:rFonts w:hint="eastAsia" w:ascii="Times New Roman" w:hAnsi="Times New Roman" w:eastAsia="方正楷体_GBK" w:cs="Times New Roman"/>
          <w:b w:val="0"/>
          <w:bCs w:val="0"/>
          <w:kern w:val="2"/>
          <w:sz w:val="32"/>
          <w:szCs w:val="32"/>
          <w:lang w:val="en-US" w:eastAsia="zh-CN"/>
        </w:rPr>
        <w:t>一</w:t>
      </w:r>
      <w:r>
        <w:rPr>
          <w:rFonts w:hint="default" w:ascii="Times New Roman" w:hAnsi="Times New Roman" w:eastAsia="方正楷体_GBK" w:cs="Times New Roman"/>
          <w:b w:val="0"/>
          <w:bCs w:val="0"/>
          <w:kern w:val="2"/>
          <w:sz w:val="32"/>
          <w:szCs w:val="32"/>
        </w:rPr>
        <w:t>）格式要求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1.A4纸张，上边距3.8厘米，下边距3.2厘米，左边距3.5厘米，右边距2.5厘米。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2.正文主标题居中对齐，使用华文中宋二号字。主标题的段后间距设为0.5行。如有副标题需另起一行，使用破折号加宋体小二号字如：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3.正文一级标题使用黑体三号字，序号使用汉字加顿号如：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。二级标题使用楷体三号字，序号使用汉字加括号如：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。三级标题使用仿宋三号字，序号使用三号Times New Roman字体的阿拉伯数字加点如：“1.”。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4.正文使用仿宋三号字，首行缩进两字符，行距设置为1.5倍。正文须配5—10幅插图，图片下附50字以内说明，须注明拍摄者。</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val="0"/>
          <w:bCs w:val="0"/>
          <w:kern w:val="2"/>
          <w:sz w:val="32"/>
          <w:szCs w:val="32"/>
        </w:rPr>
        <w:t>（</w:t>
      </w:r>
      <w:r>
        <w:rPr>
          <w:rFonts w:hint="eastAsia" w:ascii="Times New Roman" w:hAnsi="Times New Roman" w:eastAsia="方正楷体_GBK" w:cs="Times New Roman"/>
          <w:b w:val="0"/>
          <w:bCs w:val="0"/>
          <w:kern w:val="2"/>
          <w:sz w:val="32"/>
          <w:szCs w:val="32"/>
          <w:lang w:val="en-US" w:eastAsia="zh-CN"/>
        </w:rPr>
        <w:t>二</w:t>
      </w:r>
      <w:r>
        <w:rPr>
          <w:rFonts w:hint="default" w:ascii="Times New Roman" w:hAnsi="Times New Roman" w:eastAsia="方正楷体_GBK" w:cs="Times New Roman"/>
          <w:b w:val="0"/>
          <w:bCs w:val="0"/>
          <w:kern w:val="2"/>
          <w:sz w:val="32"/>
          <w:szCs w:val="32"/>
        </w:rPr>
        <w:t>）报送方式</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校属各单位</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kern w:val="0"/>
          <w:sz w:val="32"/>
          <w:szCs w:val="32"/>
        </w:rPr>
        <w:t>在广泛征集案例的基础上，认真组织校级案例评选活动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2.填写《</w:t>
      </w:r>
      <w:r>
        <w:rPr>
          <w:rFonts w:hint="default" w:ascii="Times New Roman" w:hAnsi="Times New Roman" w:eastAsia="方正仿宋_GBK" w:cs="Times New Roman"/>
          <w:sz w:val="32"/>
          <w:szCs w:val="32"/>
        </w:rPr>
        <w:t>重庆</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第七届大学生艺术展演活动高校美育改革创新优秀案例申报书</w:t>
      </w:r>
      <w:r>
        <w:rPr>
          <w:rFonts w:hint="default" w:ascii="Times New Roman" w:hAnsi="Times New Roman" w:eastAsia="方正仿宋_GBK" w:cs="Times New Roman"/>
          <w:kern w:val="0"/>
          <w:sz w:val="32"/>
          <w:szCs w:val="32"/>
        </w:rPr>
        <w:t>》（见附件1）及《</w:t>
      </w:r>
      <w:r>
        <w:rPr>
          <w:rFonts w:hint="default" w:ascii="Times New Roman" w:hAnsi="Times New Roman" w:eastAsia="方正仿宋_GBK" w:cs="Times New Roman"/>
          <w:sz w:val="32"/>
          <w:szCs w:val="32"/>
        </w:rPr>
        <w:t>重庆</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第七届大学生艺术展演活动高校美育改革创新优秀案例</w:t>
      </w:r>
      <w:r>
        <w:rPr>
          <w:rFonts w:hint="default" w:ascii="Times New Roman" w:hAnsi="Times New Roman" w:eastAsia="方正仿宋_GBK" w:cs="Times New Roman"/>
          <w:kern w:val="0"/>
          <w:sz w:val="32"/>
          <w:szCs w:val="32"/>
        </w:rPr>
        <w:t>汇总表》（见附件2）加盖公章后报送</w:t>
      </w:r>
      <w:r>
        <w:rPr>
          <w:rFonts w:hint="eastAsia" w:ascii="Times New Roman" w:hAnsi="Times New Roman" w:eastAsia="方正仿宋_GBK" w:cs="Times New Roman"/>
          <w:kern w:val="0"/>
          <w:sz w:val="32"/>
          <w:szCs w:val="32"/>
          <w:lang w:val="en-US" w:eastAsia="zh-CN"/>
        </w:rPr>
        <w:t>校团委</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12</w:t>
      </w:r>
      <w:r>
        <w:rPr>
          <w:rFonts w:hint="default" w:ascii="Times New Roman" w:hAnsi="Times New Roman" w:eastAsia="方正仿宋_GBK" w:cs="Times New Roman"/>
          <w:color w:val="auto"/>
          <w:kern w:val="0"/>
          <w:sz w:val="32"/>
          <w:szCs w:val="32"/>
        </w:rPr>
        <w:t>日</w:t>
      </w:r>
      <w:r>
        <w:rPr>
          <w:rFonts w:hint="eastAsia" w:eastAsia="方正仿宋_GBK" w:cs="Times New Roman"/>
          <w:color w:val="auto"/>
          <w:kern w:val="0"/>
          <w:sz w:val="32"/>
          <w:szCs w:val="32"/>
          <w:lang w:val="en-US" w:eastAsia="zh-CN"/>
        </w:rPr>
        <w:t>前</w:t>
      </w:r>
      <w:r>
        <w:rPr>
          <w:rFonts w:hint="default" w:ascii="Times New Roman" w:hAnsi="Times New Roman" w:eastAsia="方正仿宋_GBK" w:cs="Times New Roman"/>
          <w:color w:val="auto"/>
          <w:kern w:val="0"/>
          <w:sz w:val="32"/>
          <w:szCs w:val="32"/>
        </w:rPr>
        <w:t>报送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参评所需资料均须报送纸质件和电子件</w:t>
      </w:r>
      <w:r>
        <w:rPr>
          <w:rFonts w:hint="eastAsia" w:eastAsia="方正仿宋_GBK" w:cs="Times New Roman"/>
          <w:color w:val="auto"/>
          <w:kern w:val="0"/>
          <w:sz w:val="32"/>
          <w:szCs w:val="32"/>
          <w:lang w:val="en-US" w:eastAsia="zh-CN"/>
        </w:rPr>
        <w:t>至校团委</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000000"/>
          <w:spacing w:val="-4"/>
          <w:kern w:val="0"/>
          <w:sz w:val="32"/>
          <w:szCs w:val="32"/>
          <w:lang w:val="en-US" w:eastAsia="zh-CN" w:bidi="ar-SA"/>
        </w:rPr>
        <w:t>经统一评选后，择优推报参选全市比赛</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报送地址：体育馆207团委办公室；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联系人及联系方式：</w:t>
      </w:r>
      <w:r>
        <w:rPr>
          <w:rFonts w:hint="eastAsia" w:ascii="Times New Roman" w:hAnsi="Times New Roman" w:eastAsia="方正仿宋_GBK" w:cs="Times New Roman"/>
          <w:sz w:val="32"/>
          <w:szCs w:val="32"/>
          <w:lang w:val="en-US" w:eastAsia="zh-CN"/>
        </w:rPr>
        <w:t>胡雨婷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19115608158；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邮箱：2542024446@qq.com</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w:t>
      </w:r>
      <w:r>
        <w:rPr>
          <w:rFonts w:hint="eastAsia" w:ascii="Times New Roman" w:hAnsi="Times New Roman" w:eastAsia="方正仿宋_GBK" w:cs="Times New Roman"/>
          <w:kern w:val="0"/>
          <w:sz w:val="32"/>
          <w:szCs w:val="32"/>
          <w:lang w:val="en-US" w:eastAsia="zh-CN"/>
        </w:rPr>
        <w:t>重庆市</w:t>
      </w:r>
      <w:r>
        <w:rPr>
          <w:rFonts w:hint="default" w:ascii="Times New Roman" w:hAnsi="Times New Roman" w:eastAsia="方正仿宋_GBK" w:cs="Times New Roman"/>
          <w:kern w:val="0"/>
          <w:sz w:val="32"/>
          <w:szCs w:val="32"/>
        </w:rPr>
        <w:t>第七届大学生艺术展演活动高校美育改革创新优秀案例申报书</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2.重庆</w:t>
      </w:r>
      <w:r>
        <w:rPr>
          <w:rFonts w:hint="eastAsia"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第七届大学生艺术展演活动高校美育改革创新优秀案例汇总表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3.重庆</w:t>
      </w:r>
      <w:r>
        <w:rPr>
          <w:rFonts w:hint="eastAsia"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kern w:val="0"/>
          <w:sz w:val="32"/>
          <w:szCs w:val="32"/>
        </w:rPr>
        <w:t>第七届大学生艺术展演活动高校美育改革创新优秀案例代码说明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共青团重庆工业职业技术学院委员会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spacing w:after="120" w:afterLines="5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default"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val="en-US" w:eastAsia="zh-CN"/>
        </w:rPr>
        <w:t>重庆市</w:t>
      </w:r>
      <w:r>
        <w:rPr>
          <w:rFonts w:hint="default" w:ascii="Times New Roman" w:hAnsi="Times New Roman" w:eastAsia="方正小标宋_GBK" w:cs="Times New Roman"/>
          <w:kern w:val="0"/>
          <w:sz w:val="44"/>
          <w:szCs w:val="44"/>
        </w:rPr>
        <w:t>第七届大学生艺术展演活动</w:t>
      </w:r>
    </w:p>
    <w:p>
      <w:pPr>
        <w:keepNext w:val="0"/>
        <w:keepLines w:val="0"/>
        <w:pageBreakBefore w:val="0"/>
        <w:widowControl w:val="0"/>
        <w:kinsoku/>
        <w:wordWrap/>
        <w:overflowPunct/>
        <w:topLinePunct w:val="0"/>
        <w:autoSpaceDE/>
        <w:autoSpaceDN/>
        <w:bidi w:val="0"/>
        <w:adjustRightInd/>
        <w:snapToGrid/>
        <w:spacing w:after="120" w:afterLines="50"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高校美育改革创新优秀案例申报书</w:t>
      </w:r>
    </w:p>
    <w:p>
      <w:pPr>
        <w:spacing w:line="300" w:lineRule="auto"/>
        <w:rPr>
          <w:rFonts w:hint="default" w:ascii="Times New Roman" w:hAnsi="Times New Roman" w:eastAsia="仿宋_GB2312" w:cs="Times New Roman"/>
          <w:b/>
          <w:sz w:val="28"/>
          <w:szCs w:val="28"/>
          <w:u w:val="single"/>
        </w:rPr>
      </w:pPr>
    </w:p>
    <w:p>
      <w:pPr>
        <w:spacing w:line="300" w:lineRule="auto"/>
        <w:rPr>
          <w:rFonts w:hint="default" w:ascii="Times New Roman" w:hAnsi="Times New Roman" w:eastAsia="方正小标宋简体" w:cs="Times New Roman"/>
          <w:b/>
          <w:kern w:val="0"/>
          <w:sz w:val="28"/>
          <w:szCs w:val="28"/>
        </w:rPr>
      </w:pPr>
      <w:r>
        <w:rPr>
          <w:rFonts w:hint="default" w:ascii="Times New Roman" w:hAnsi="Times New Roman" w:eastAsia="仿宋_GB2312" w:cs="Times New Roman"/>
          <w:b/>
          <w:sz w:val="28"/>
          <w:szCs w:val="28"/>
          <w:u w:val="single"/>
        </w:rPr>
        <w:t xml:space="preserve">                  报送单位</w:t>
      </w:r>
      <w:r>
        <w:rPr>
          <w:rFonts w:hint="default" w:ascii="Times New Roman" w:hAnsi="Times New Roman" w:eastAsia="仿宋_GB2312" w:cs="Times New Roman"/>
          <w:b/>
          <w:sz w:val="28"/>
          <w:szCs w:val="28"/>
        </w:rPr>
        <w:t>（盖章）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noWrap w:val="0"/>
            <w:vAlign w:val="center"/>
          </w:tcPr>
          <w:p>
            <w:pPr>
              <w:spacing w:line="30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8"/>
                <w:szCs w:val="28"/>
              </w:rPr>
              <w:t>案例代码</w:t>
            </w:r>
          </w:p>
          <w:p>
            <w:pPr>
              <w:spacing w:line="30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（见后附说明）</w:t>
            </w:r>
          </w:p>
        </w:tc>
        <w:tc>
          <w:tcPr>
            <w:tcW w:w="6896" w:type="dxa"/>
            <w:noWrap w:val="0"/>
            <w:vAlign w:val="center"/>
          </w:tcPr>
          <w:p>
            <w:pPr>
              <w:spacing w:line="300"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8"/>
                <w:szCs w:val="28"/>
              </w:rPr>
              <w:t>案例题目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38" w:type="dxa"/>
            <w:noWrap w:val="0"/>
            <w:vAlign w:val="center"/>
          </w:tcPr>
          <w:p>
            <w:pPr>
              <w:spacing w:line="280" w:lineRule="exact"/>
              <w:ind w:firstLine="480"/>
              <w:jc w:val="center"/>
              <w:rPr>
                <w:rFonts w:hint="default" w:ascii="Times New Roman" w:hAnsi="Times New Roman" w:eastAsia="仿宋_GB2312" w:cs="Times New Roman"/>
                <w:kern w:val="0"/>
                <w:sz w:val="24"/>
              </w:rPr>
            </w:pPr>
          </w:p>
        </w:tc>
        <w:tc>
          <w:tcPr>
            <w:tcW w:w="6896" w:type="dxa"/>
            <w:noWrap w:val="0"/>
            <w:vAlign w:val="center"/>
          </w:tcPr>
          <w:p>
            <w:pPr>
              <w:spacing w:line="280" w:lineRule="exact"/>
              <w:rPr>
                <w:rFonts w:hint="default" w:ascii="Times New Roman" w:hAnsi="Times New Roman" w:eastAsia="仿宋_GB2312" w:cs="Times New Roman"/>
                <w:kern w:val="0"/>
                <w:sz w:val="24"/>
              </w:rPr>
            </w:pPr>
          </w:p>
          <w:p>
            <w:pPr>
              <w:spacing w:line="280" w:lineRule="exac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38" w:type="dxa"/>
            <w:noWrap w:val="0"/>
            <w:vAlign w:val="center"/>
          </w:tcPr>
          <w:p>
            <w:pPr>
              <w:spacing w:line="30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报送单位</w:t>
            </w:r>
          </w:p>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（请填写全称）</w:t>
            </w:r>
          </w:p>
        </w:tc>
        <w:tc>
          <w:tcPr>
            <w:tcW w:w="6896" w:type="dxa"/>
            <w:noWrap w:val="0"/>
            <w:vAlign w:val="center"/>
          </w:tcPr>
          <w:p>
            <w:pPr>
              <w:spacing w:line="300" w:lineRule="exact"/>
              <w:ind w:firstLine="480"/>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9" w:hRule="atLeast"/>
          <w:jc w:val="center"/>
        </w:trPr>
        <w:tc>
          <w:tcPr>
            <w:tcW w:w="8834" w:type="dxa"/>
            <w:gridSpan w:val="2"/>
            <w:noWrap w:val="0"/>
            <w:vAlign w:val="top"/>
          </w:tcPr>
          <w:p>
            <w:pPr>
              <w:spacing w:line="300" w:lineRule="auto"/>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8"/>
                <w:szCs w:val="28"/>
              </w:rPr>
              <w:t>案例简介</w:t>
            </w:r>
            <w:r>
              <w:rPr>
                <w:rFonts w:hint="default" w:ascii="Times New Roman" w:hAnsi="Times New Roman" w:eastAsia="仿宋_GB2312" w:cs="Times New Roman"/>
                <w:kern w:val="0"/>
                <w:sz w:val="24"/>
              </w:rPr>
              <w:t>（限500字以内，可另附页）</w:t>
            </w:r>
          </w:p>
          <w:p>
            <w:pPr>
              <w:spacing w:line="300" w:lineRule="auto"/>
              <w:rPr>
                <w:rFonts w:hint="default" w:ascii="Times New Roman" w:hAnsi="Times New Roman" w:eastAsia="仿宋_GB2312" w:cs="Times New Roman"/>
                <w:kern w:val="0"/>
                <w:sz w:val="24"/>
              </w:rPr>
            </w:pPr>
          </w:p>
          <w:p>
            <w:pPr>
              <w:spacing w:line="300" w:lineRule="auto"/>
              <w:rPr>
                <w:rFonts w:hint="default" w:ascii="Times New Roman" w:hAnsi="Times New Roman" w:eastAsia="仿宋_GB2312" w:cs="Times New Roman"/>
                <w:kern w:val="0"/>
                <w:sz w:val="24"/>
              </w:rPr>
            </w:pPr>
          </w:p>
          <w:p>
            <w:pPr>
              <w:spacing w:line="300" w:lineRule="auto"/>
              <w:rPr>
                <w:rFonts w:hint="default" w:ascii="Times New Roman" w:hAnsi="Times New Roman" w:eastAsia="仿宋_GB2312" w:cs="Times New Roman"/>
                <w:kern w:val="0"/>
                <w:sz w:val="24"/>
              </w:rPr>
            </w:pPr>
          </w:p>
          <w:p>
            <w:pPr>
              <w:spacing w:line="300" w:lineRule="auto"/>
              <w:ind w:firstLine="1048" w:firstLineChars="437"/>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p>
            <w:pPr>
              <w:spacing w:line="300" w:lineRule="auto"/>
              <w:ind w:firstLine="1048" w:firstLineChars="437"/>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p>
            <w:pPr>
              <w:spacing w:line="300" w:lineRule="auto"/>
              <w:ind w:firstLine="48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tc>
      </w:tr>
    </w:tbl>
    <w:p>
      <w:pPr>
        <w:rPr>
          <w:rFonts w:hint="default" w:ascii="Times New Roman" w:hAnsi="Times New Roman" w:eastAsia="方正小标宋简体" w:cs="Times New Roman"/>
          <w:b/>
          <w:kern w:val="0"/>
          <w:sz w:val="36"/>
          <w:szCs w:val="36"/>
        </w:rPr>
        <w:sectPr>
          <w:headerReference r:id="rId3" w:type="default"/>
          <w:footerReference r:id="rId4" w:type="default"/>
          <w:pgSz w:w="11906" w:h="16838"/>
          <w:pgMar w:top="1984" w:right="1446" w:bottom="1644" w:left="1446" w:header="851" w:footer="992" w:gutter="0"/>
          <w:pgNumType w:fmt="numberInDash"/>
          <w:cols w:space="720" w:num="1"/>
          <w:docGrid w:linePitch="312" w:charSpace="0"/>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w:t>
      </w:r>
      <w:r>
        <w:rPr>
          <w:rFonts w:hint="eastAsia" w:ascii="Times New Roman" w:hAnsi="Times New Roman" w:eastAsia="方正小标宋_GBK" w:cs="Times New Roman"/>
          <w:sz w:val="44"/>
          <w:szCs w:val="44"/>
          <w:lang w:val="en-US" w:eastAsia="zh-CN"/>
        </w:rPr>
        <w:t>市</w:t>
      </w:r>
      <w:r>
        <w:rPr>
          <w:rFonts w:hint="default" w:ascii="Times New Roman" w:hAnsi="Times New Roman" w:eastAsia="方正小标宋_GBK" w:cs="Times New Roman"/>
          <w:sz w:val="44"/>
          <w:szCs w:val="44"/>
        </w:rPr>
        <w:t>第七届大学生艺术展演活动</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高校美育改革创新优秀案例汇总表</w:t>
      </w:r>
    </w:p>
    <w:p>
      <w:pPr>
        <w:spacing w:line="600" w:lineRule="exact"/>
        <w:jc w:val="center"/>
        <w:rPr>
          <w:rFonts w:hint="default" w:ascii="Times New Roman" w:hAnsi="Times New Roman" w:eastAsia="方正小标宋_GBK" w:cs="Times New Roman"/>
          <w:b/>
          <w:sz w:val="36"/>
          <w:szCs w:val="36"/>
        </w:rPr>
      </w:pPr>
    </w:p>
    <w:p>
      <w:pPr>
        <w:spacing w:after="156" w:afterLines="50" w:line="0" w:lineRule="atLeast"/>
        <w:ind w:right="845"/>
        <w:rPr>
          <w:rFonts w:hint="default" w:ascii="Times New Roman" w:hAnsi="Times New Roman" w:eastAsia="方正仿宋_GBK" w:cs="Times New Roman"/>
          <w:szCs w:val="21"/>
        </w:rPr>
      </w:pPr>
      <w:r>
        <w:rPr>
          <w:rFonts w:hint="default" w:ascii="Times New Roman" w:hAnsi="Times New Roman" w:eastAsia="方正仿宋_GBK" w:cs="Times New Roman"/>
          <w:szCs w:val="21"/>
          <w:u w:val="single"/>
        </w:rPr>
        <w:t xml:space="preserve">                   </w:t>
      </w:r>
      <w:r>
        <w:rPr>
          <w:rFonts w:hint="eastAsia" w:ascii="Times New Roman" w:hAnsi="Times New Roman" w:eastAsia="方正仿宋_GBK" w:cs="Times New Roman"/>
          <w:szCs w:val="21"/>
          <w:u w:val="single"/>
          <w:lang w:val="en-US" w:eastAsia="zh-CN"/>
        </w:rPr>
        <w:t>报送</w:t>
      </w:r>
      <w:r>
        <w:rPr>
          <w:rFonts w:hint="default" w:ascii="Times New Roman" w:hAnsi="Times New Roman" w:eastAsia="方正仿宋_GBK" w:cs="Times New Roman"/>
          <w:szCs w:val="21"/>
          <w:u w:val="single"/>
        </w:rPr>
        <w:t>单位</w:t>
      </w:r>
      <w:r>
        <w:rPr>
          <w:rFonts w:hint="default" w:ascii="Times New Roman" w:hAnsi="Times New Roman" w:eastAsia="方正仿宋_GBK" w:cs="Times New Roman"/>
          <w:szCs w:val="21"/>
        </w:rPr>
        <w:t>（盖章）</w:t>
      </w:r>
    </w:p>
    <w:p>
      <w:pPr>
        <w:spacing w:before="156" w:beforeLines="50" w:line="0" w:lineRule="atLeast"/>
        <w:ind w:right="958"/>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tbl>
      <w:tblPr>
        <w:tblStyle w:val="5"/>
        <w:tblpPr w:leftFromText="180" w:rightFromText="180" w:vertAnchor="text" w:horzAnchor="page" w:tblpXSpec="center" w:tblpY="374"/>
        <w:tblOverlap w:val="never"/>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760"/>
        <w:gridCol w:w="1275"/>
        <w:gridCol w:w="1560"/>
        <w:gridCol w:w="1417"/>
        <w:gridCol w:w="992"/>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75"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760" w:type="dxa"/>
            <w:vMerge w:val="restart"/>
            <w:noWrap w:val="0"/>
            <w:vAlign w:val="center"/>
          </w:tcPr>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Cs w:val="21"/>
              </w:rPr>
              <w:t>案例代码</w:t>
            </w:r>
            <w:r>
              <w:rPr>
                <w:rFonts w:hint="default" w:ascii="Times New Roman" w:hAnsi="Times New Roman" w:eastAsia="方正黑体_GBK" w:cs="Times New Roman"/>
                <w:sz w:val="18"/>
                <w:szCs w:val="18"/>
              </w:rPr>
              <w:t>（4位）</w:t>
            </w:r>
          </w:p>
        </w:tc>
        <w:tc>
          <w:tcPr>
            <w:tcW w:w="1275"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案例题目</w:t>
            </w:r>
          </w:p>
        </w:tc>
        <w:tc>
          <w:tcPr>
            <w:tcW w:w="1560"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类别（音乐/美术/综合）</w:t>
            </w:r>
          </w:p>
        </w:tc>
        <w:tc>
          <w:tcPr>
            <w:tcW w:w="1417"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作者单位</w:t>
            </w:r>
          </w:p>
        </w:tc>
        <w:tc>
          <w:tcPr>
            <w:tcW w:w="992"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作者</w:t>
            </w:r>
          </w:p>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姓名</w:t>
            </w:r>
          </w:p>
        </w:tc>
        <w:tc>
          <w:tcPr>
            <w:tcW w:w="1134"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作者</w:t>
            </w:r>
          </w:p>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职称</w:t>
            </w:r>
          </w:p>
        </w:tc>
        <w:tc>
          <w:tcPr>
            <w:tcW w:w="1276"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联系电话</w:t>
            </w:r>
          </w:p>
        </w:tc>
        <w:tc>
          <w:tcPr>
            <w:tcW w:w="1418" w:type="dxa"/>
            <w:vMerge w:val="restart"/>
            <w:noWrap w:val="0"/>
            <w:vAlign w:val="center"/>
          </w:tcPr>
          <w:p>
            <w:pPr>
              <w:spacing w:line="0" w:lineRule="atLeas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5"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760"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275"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560"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417"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992"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134"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276" w:type="dxa"/>
            <w:vMerge w:val="continue"/>
            <w:noWrap w:val="0"/>
            <w:vAlign w:val="center"/>
          </w:tcPr>
          <w:p>
            <w:pPr>
              <w:spacing w:line="0" w:lineRule="atLeast"/>
              <w:jc w:val="center"/>
              <w:rPr>
                <w:rFonts w:hint="default" w:ascii="Times New Roman" w:hAnsi="Times New Roman" w:eastAsia="仿宋_GB2312" w:cs="Times New Roman"/>
                <w:szCs w:val="21"/>
              </w:rPr>
            </w:pPr>
          </w:p>
        </w:tc>
        <w:tc>
          <w:tcPr>
            <w:tcW w:w="1418" w:type="dxa"/>
            <w:vMerge w:val="continue"/>
            <w:noWrap w:val="0"/>
            <w:vAlign w:val="center"/>
          </w:tcPr>
          <w:p>
            <w:pPr>
              <w:spacing w:line="0" w:lineRule="atLeas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5" w:type="dxa"/>
            <w:noWrap w:val="0"/>
            <w:vAlign w:val="center"/>
          </w:tcPr>
          <w:p>
            <w:pPr>
              <w:spacing w:line="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760" w:type="dxa"/>
            <w:noWrap w:val="0"/>
            <w:vAlign w:val="center"/>
          </w:tcPr>
          <w:p>
            <w:pPr>
              <w:spacing w:line="0" w:lineRule="atLeast"/>
              <w:jc w:val="center"/>
              <w:rPr>
                <w:rFonts w:hint="default" w:ascii="Times New Roman" w:hAnsi="Times New Roman" w:eastAsia="方正仿宋_GBK" w:cs="Times New Roman"/>
                <w:szCs w:val="21"/>
              </w:rPr>
            </w:pPr>
          </w:p>
        </w:tc>
        <w:tc>
          <w:tcPr>
            <w:tcW w:w="1275" w:type="dxa"/>
            <w:noWrap w:val="0"/>
            <w:vAlign w:val="center"/>
          </w:tcPr>
          <w:p>
            <w:pPr>
              <w:spacing w:line="0" w:lineRule="atLeast"/>
              <w:jc w:val="center"/>
              <w:rPr>
                <w:rFonts w:hint="default" w:ascii="Times New Roman" w:hAnsi="Times New Roman" w:eastAsia="方正仿宋_GBK" w:cs="Times New Roman"/>
                <w:szCs w:val="21"/>
              </w:rPr>
            </w:pPr>
          </w:p>
        </w:tc>
        <w:tc>
          <w:tcPr>
            <w:tcW w:w="1560" w:type="dxa"/>
            <w:noWrap w:val="0"/>
            <w:vAlign w:val="center"/>
          </w:tcPr>
          <w:p>
            <w:pPr>
              <w:spacing w:line="0" w:lineRule="atLeast"/>
              <w:jc w:val="center"/>
              <w:rPr>
                <w:rFonts w:hint="default" w:ascii="Times New Roman" w:hAnsi="Times New Roman" w:eastAsia="方正仿宋_GBK" w:cs="Times New Roman"/>
                <w:szCs w:val="21"/>
              </w:rPr>
            </w:pPr>
          </w:p>
        </w:tc>
        <w:tc>
          <w:tcPr>
            <w:tcW w:w="1417" w:type="dxa"/>
            <w:noWrap w:val="0"/>
            <w:vAlign w:val="center"/>
          </w:tcPr>
          <w:p>
            <w:pPr>
              <w:spacing w:line="0" w:lineRule="atLeast"/>
              <w:jc w:val="center"/>
              <w:rPr>
                <w:rFonts w:hint="default" w:ascii="Times New Roman" w:hAnsi="Times New Roman" w:eastAsia="方正仿宋_GBK" w:cs="Times New Roman"/>
                <w:szCs w:val="21"/>
              </w:rPr>
            </w:pPr>
          </w:p>
        </w:tc>
        <w:tc>
          <w:tcPr>
            <w:tcW w:w="992" w:type="dxa"/>
            <w:noWrap w:val="0"/>
            <w:vAlign w:val="center"/>
          </w:tcPr>
          <w:p>
            <w:pPr>
              <w:spacing w:line="0" w:lineRule="atLeast"/>
              <w:jc w:val="center"/>
              <w:rPr>
                <w:rFonts w:hint="default" w:ascii="Times New Roman" w:hAnsi="Times New Roman" w:eastAsia="方正仿宋_GBK" w:cs="Times New Roman"/>
                <w:szCs w:val="21"/>
              </w:rPr>
            </w:pPr>
          </w:p>
        </w:tc>
        <w:tc>
          <w:tcPr>
            <w:tcW w:w="1134" w:type="dxa"/>
            <w:noWrap w:val="0"/>
            <w:vAlign w:val="center"/>
          </w:tcPr>
          <w:p>
            <w:pPr>
              <w:spacing w:line="0" w:lineRule="atLeast"/>
              <w:jc w:val="center"/>
              <w:rPr>
                <w:rFonts w:hint="default" w:ascii="Times New Roman" w:hAnsi="Times New Roman" w:eastAsia="方正仿宋_GBK" w:cs="Times New Roman"/>
                <w:szCs w:val="21"/>
              </w:rPr>
            </w:pPr>
          </w:p>
        </w:tc>
        <w:tc>
          <w:tcPr>
            <w:tcW w:w="1276" w:type="dxa"/>
            <w:noWrap w:val="0"/>
            <w:vAlign w:val="center"/>
          </w:tcPr>
          <w:p>
            <w:pPr>
              <w:spacing w:line="0" w:lineRule="atLeast"/>
              <w:jc w:val="center"/>
              <w:rPr>
                <w:rFonts w:hint="default" w:ascii="Times New Roman" w:hAnsi="Times New Roman" w:eastAsia="方正仿宋_GBK" w:cs="Times New Roman"/>
                <w:szCs w:val="21"/>
              </w:rPr>
            </w:pPr>
          </w:p>
        </w:tc>
        <w:tc>
          <w:tcPr>
            <w:tcW w:w="1418" w:type="dxa"/>
            <w:noWrap w:val="0"/>
            <w:vAlign w:val="center"/>
          </w:tcPr>
          <w:p>
            <w:pPr>
              <w:spacing w:line="0" w:lineRule="atLeas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5" w:type="dxa"/>
            <w:noWrap w:val="0"/>
            <w:vAlign w:val="center"/>
          </w:tcPr>
          <w:p>
            <w:pPr>
              <w:spacing w:line="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760" w:type="dxa"/>
            <w:noWrap w:val="0"/>
            <w:vAlign w:val="center"/>
          </w:tcPr>
          <w:p>
            <w:pPr>
              <w:spacing w:line="0" w:lineRule="atLeast"/>
              <w:jc w:val="center"/>
              <w:rPr>
                <w:rFonts w:hint="default" w:ascii="Times New Roman" w:hAnsi="Times New Roman" w:eastAsia="方正仿宋_GBK" w:cs="Times New Roman"/>
                <w:szCs w:val="21"/>
              </w:rPr>
            </w:pPr>
          </w:p>
        </w:tc>
        <w:tc>
          <w:tcPr>
            <w:tcW w:w="1275" w:type="dxa"/>
            <w:noWrap w:val="0"/>
            <w:vAlign w:val="center"/>
          </w:tcPr>
          <w:p>
            <w:pPr>
              <w:spacing w:line="0" w:lineRule="atLeast"/>
              <w:jc w:val="center"/>
              <w:rPr>
                <w:rFonts w:hint="default" w:ascii="Times New Roman" w:hAnsi="Times New Roman" w:eastAsia="方正仿宋_GBK" w:cs="Times New Roman"/>
                <w:szCs w:val="21"/>
              </w:rPr>
            </w:pPr>
          </w:p>
        </w:tc>
        <w:tc>
          <w:tcPr>
            <w:tcW w:w="1560" w:type="dxa"/>
            <w:noWrap w:val="0"/>
            <w:vAlign w:val="center"/>
          </w:tcPr>
          <w:p>
            <w:pPr>
              <w:spacing w:line="0" w:lineRule="atLeast"/>
              <w:jc w:val="center"/>
              <w:rPr>
                <w:rFonts w:hint="default" w:ascii="Times New Roman" w:hAnsi="Times New Roman" w:eastAsia="方正仿宋_GBK" w:cs="Times New Roman"/>
                <w:szCs w:val="21"/>
              </w:rPr>
            </w:pPr>
          </w:p>
        </w:tc>
        <w:tc>
          <w:tcPr>
            <w:tcW w:w="1417" w:type="dxa"/>
            <w:noWrap w:val="0"/>
            <w:vAlign w:val="center"/>
          </w:tcPr>
          <w:p>
            <w:pPr>
              <w:spacing w:line="0" w:lineRule="atLeast"/>
              <w:jc w:val="center"/>
              <w:rPr>
                <w:rFonts w:hint="default" w:ascii="Times New Roman" w:hAnsi="Times New Roman" w:eastAsia="方正仿宋_GBK" w:cs="Times New Roman"/>
                <w:szCs w:val="21"/>
              </w:rPr>
            </w:pPr>
          </w:p>
        </w:tc>
        <w:tc>
          <w:tcPr>
            <w:tcW w:w="992" w:type="dxa"/>
            <w:noWrap w:val="0"/>
            <w:vAlign w:val="center"/>
          </w:tcPr>
          <w:p>
            <w:pPr>
              <w:spacing w:line="0" w:lineRule="atLeast"/>
              <w:jc w:val="center"/>
              <w:rPr>
                <w:rFonts w:hint="default" w:ascii="Times New Roman" w:hAnsi="Times New Roman" w:eastAsia="方正仿宋_GBK" w:cs="Times New Roman"/>
                <w:szCs w:val="21"/>
              </w:rPr>
            </w:pPr>
          </w:p>
        </w:tc>
        <w:tc>
          <w:tcPr>
            <w:tcW w:w="1134" w:type="dxa"/>
            <w:noWrap w:val="0"/>
            <w:vAlign w:val="center"/>
          </w:tcPr>
          <w:p>
            <w:pPr>
              <w:spacing w:line="0" w:lineRule="atLeast"/>
              <w:jc w:val="center"/>
              <w:rPr>
                <w:rFonts w:hint="default" w:ascii="Times New Roman" w:hAnsi="Times New Roman" w:eastAsia="方正仿宋_GBK" w:cs="Times New Roman"/>
                <w:szCs w:val="21"/>
              </w:rPr>
            </w:pPr>
          </w:p>
        </w:tc>
        <w:tc>
          <w:tcPr>
            <w:tcW w:w="1276" w:type="dxa"/>
            <w:noWrap w:val="0"/>
            <w:vAlign w:val="center"/>
          </w:tcPr>
          <w:p>
            <w:pPr>
              <w:spacing w:line="0" w:lineRule="atLeast"/>
              <w:jc w:val="center"/>
              <w:rPr>
                <w:rFonts w:hint="default" w:ascii="Times New Roman" w:hAnsi="Times New Roman" w:eastAsia="方正仿宋_GBK" w:cs="Times New Roman"/>
                <w:szCs w:val="21"/>
              </w:rPr>
            </w:pPr>
          </w:p>
        </w:tc>
        <w:tc>
          <w:tcPr>
            <w:tcW w:w="1418" w:type="dxa"/>
            <w:noWrap w:val="0"/>
            <w:vAlign w:val="center"/>
          </w:tcPr>
          <w:p>
            <w:pPr>
              <w:spacing w:line="0" w:lineRule="atLeas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5" w:type="dxa"/>
            <w:noWrap w:val="0"/>
            <w:vAlign w:val="center"/>
          </w:tcPr>
          <w:p>
            <w:pPr>
              <w:spacing w:line="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760" w:type="dxa"/>
            <w:noWrap w:val="0"/>
            <w:vAlign w:val="center"/>
          </w:tcPr>
          <w:p>
            <w:pPr>
              <w:spacing w:line="0" w:lineRule="atLeast"/>
              <w:jc w:val="center"/>
              <w:rPr>
                <w:rFonts w:hint="default" w:ascii="Times New Roman" w:hAnsi="Times New Roman" w:eastAsia="方正仿宋_GBK" w:cs="Times New Roman"/>
                <w:szCs w:val="21"/>
              </w:rPr>
            </w:pPr>
          </w:p>
        </w:tc>
        <w:tc>
          <w:tcPr>
            <w:tcW w:w="1275" w:type="dxa"/>
            <w:noWrap w:val="0"/>
            <w:vAlign w:val="center"/>
          </w:tcPr>
          <w:p>
            <w:pPr>
              <w:spacing w:line="0" w:lineRule="atLeast"/>
              <w:jc w:val="center"/>
              <w:rPr>
                <w:rFonts w:hint="default" w:ascii="Times New Roman" w:hAnsi="Times New Roman" w:eastAsia="方正仿宋_GBK" w:cs="Times New Roman"/>
                <w:szCs w:val="21"/>
              </w:rPr>
            </w:pPr>
          </w:p>
        </w:tc>
        <w:tc>
          <w:tcPr>
            <w:tcW w:w="1560" w:type="dxa"/>
            <w:noWrap w:val="0"/>
            <w:vAlign w:val="center"/>
          </w:tcPr>
          <w:p>
            <w:pPr>
              <w:spacing w:line="0" w:lineRule="atLeast"/>
              <w:jc w:val="center"/>
              <w:rPr>
                <w:rFonts w:hint="default" w:ascii="Times New Roman" w:hAnsi="Times New Roman" w:eastAsia="方正仿宋_GBK" w:cs="Times New Roman"/>
                <w:szCs w:val="21"/>
              </w:rPr>
            </w:pPr>
          </w:p>
        </w:tc>
        <w:tc>
          <w:tcPr>
            <w:tcW w:w="1417" w:type="dxa"/>
            <w:noWrap w:val="0"/>
            <w:vAlign w:val="center"/>
          </w:tcPr>
          <w:p>
            <w:pPr>
              <w:spacing w:line="0" w:lineRule="atLeast"/>
              <w:jc w:val="center"/>
              <w:rPr>
                <w:rFonts w:hint="default" w:ascii="Times New Roman" w:hAnsi="Times New Roman" w:eastAsia="方正仿宋_GBK" w:cs="Times New Roman"/>
                <w:szCs w:val="21"/>
              </w:rPr>
            </w:pPr>
          </w:p>
        </w:tc>
        <w:tc>
          <w:tcPr>
            <w:tcW w:w="992" w:type="dxa"/>
            <w:noWrap w:val="0"/>
            <w:vAlign w:val="center"/>
          </w:tcPr>
          <w:p>
            <w:pPr>
              <w:spacing w:line="0" w:lineRule="atLeast"/>
              <w:jc w:val="center"/>
              <w:rPr>
                <w:rFonts w:hint="default" w:ascii="Times New Roman" w:hAnsi="Times New Roman" w:eastAsia="方正仿宋_GBK" w:cs="Times New Roman"/>
                <w:szCs w:val="21"/>
              </w:rPr>
            </w:pPr>
          </w:p>
        </w:tc>
        <w:tc>
          <w:tcPr>
            <w:tcW w:w="1134" w:type="dxa"/>
            <w:noWrap w:val="0"/>
            <w:vAlign w:val="center"/>
          </w:tcPr>
          <w:p>
            <w:pPr>
              <w:spacing w:line="0" w:lineRule="atLeast"/>
              <w:jc w:val="center"/>
              <w:rPr>
                <w:rFonts w:hint="default" w:ascii="Times New Roman" w:hAnsi="Times New Roman" w:eastAsia="方正仿宋_GBK" w:cs="Times New Roman"/>
                <w:szCs w:val="21"/>
              </w:rPr>
            </w:pPr>
          </w:p>
        </w:tc>
        <w:tc>
          <w:tcPr>
            <w:tcW w:w="1276" w:type="dxa"/>
            <w:noWrap w:val="0"/>
            <w:vAlign w:val="center"/>
          </w:tcPr>
          <w:p>
            <w:pPr>
              <w:spacing w:line="0" w:lineRule="atLeast"/>
              <w:jc w:val="center"/>
              <w:rPr>
                <w:rFonts w:hint="default" w:ascii="Times New Roman" w:hAnsi="Times New Roman" w:eastAsia="方正仿宋_GBK" w:cs="Times New Roman"/>
                <w:szCs w:val="21"/>
              </w:rPr>
            </w:pPr>
          </w:p>
        </w:tc>
        <w:tc>
          <w:tcPr>
            <w:tcW w:w="1418" w:type="dxa"/>
            <w:noWrap w:val="0"/>
            <w:vAlign w:val="center"/>
          </w:tcPr>
          <w:p>
            <w:pPr>
              <w:spacing w:line="0" w:lineRule="atLeast"/>
              <w:jc w:val="center"/>
              <w:rPr>
                <w:rFonts w:hint="default" w:ascii="Times New Roman" w:hAnsi="Times New Roman" w:eastAsia="方正仿宋_GBK" w:cs="Times New Roman"/>
                <w:szCs w:val="21"/>
              </w:rPr>
            </w:pPr>
          </w:p>
        </w:tc>
      </w:tr>
    </w:tbl>
    <w:p>
      <w:pPr>
        <w:spacing w:before="156" w:beforeLines="50" w:line="0" w:lineRule="atLeast"/>
        <w:ind w:right="-76"/>
        <w:rPr>
          <w:rFonts w:hint="default" w:ascii="Times New Roman" w:hAnsi="Times New Roman" w:eastAsia="方正仿宋_GBK" w:cs="Times New Roman"/>
          <w:szCs w:val="21"/>
        </w:rPr>
      </w:pPr>
    </w:p>
    <w:p>
      <w:pPr>
        <w:tabs>
          <w:tab w:val="left" w:pos="6164"/>
          <w:tab w:val="center" w:pos="6990"/>
        </w:tabs>
        <w:jc w:val="left"/>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ab/>
      </w: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tabs>
          <w:tab w:val="left" w:pos="6164"/>
          <w:tab w:val="center" w:pos="6990"/>
        </w:tabs>
        <w:jc w:val="left"/>
        <w:rPr>
          <w:rFonts w:hint="default" w:ascii="Times New Roman" w:hAnsi="Times New Roman" w:eastAsia="方正小标宋简体" w:cs="Times New Roman"/>
          <w:kern w:val="0"/>
          <w:sz w:val="36"/>
          <w:szCs w:val="36"/>
        </w:rPr>
      </w:pPr>
    </w:p>
    <w:p>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br w:type="page"/>
      </w:r>
    </w:p>
    <w:p>
      <w:pPr>
        <w:tabs>
          <w:tab w:val="left" w:pos="6164"/>
          <w:tab w:val="center" w:pos="6990"/>
        </w:tabs>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重庆市第七届大学生艺术展演活动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高校美育改革创新优秀案例代码说明</w:t>
      </w:r>
    </w:p>
    <w:p>
      <w:pPr>
        <w:spacing w:line="300" w:lineRule="auto"/>
        <w:rPr>
          <w:rFonts w:hint="default" w:ascii="Times New Roman" w:hAnsi="Times New Roman" w:cs="Times New Roman"/>
          <w:b/>
          <w:kern w:val="0"/>
        </w:rPr>
      </w:pPr>
    </w:p>
    <w:p>
      <w:pPr>
        <w:spacing w:line="300" w:lineRule="auto"/>
        <w:ind w:firstLine="1234" w:firstLineChars="588"/>
        <w:rPr>
          <w:rFonts w:hint="default" w:ascii="Times New Roman" w:hAnsi="Times New Roman" w:cs="Times New Roman"/>
          <w:b/>
          <w:kern w:val="0"/>
        </w:rPr>
      </w:pPr>
      <w:r>
        <w:rPr>
          <w:rFonts w:hint="default" w:ascii="Times New Roman" w:hAnsi="Times New Roman" w:cs="Times New Roman"/>
          <w:b/>
          <w:kern w:val="0"/>
        </w:rPr>
        <w:t>地区代码（第1、2位）：重庆市地区代码为32</w:t>
      </w:r>
    </w:p>
    <w:p>
      <w:pPr>
        <w:rPr>
          <w:rFonts w:hint="default" w:ascii="Times New Roman" w:hAnsi="Times New Roman" w:cs="Times New Roman"/>
          <w:kern w:val="0"/>
        </w:rPr>
      </w:pPr>
    </w:p>
    <w:p>
      <w:pPr>
        <w:spacing w:line="300" w:lineRule="auto"/>
        <w:ind w:firstLine="1234" w:firstLineChars="588"/>
        <w:rPr>
          <w:rFonts w:hint="default" w:ascii="Times New Roman" w:hAnsi="Times New Roman" w:cs="Times New Roman"/>
          <w:b/>
          <w:kern w:val="0"/>
        </w:rPr>
      </w:pPr>
      <w:r>
        <w:rPr>
          <w:rFonts w:hint="default" w:ascii="Times New Roman" w:hAnsi="Times New Roman" w:cs="Times New Roman"/>
          <w:b/>
          <w:kern w:val="0"/>
        </w:rPr>
        <w:t>案例类别代码（第3、4位）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6"/>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highlight w:val="yellow"/>
              </w:rPr>
            </w:pPr>
            <w:r>
              <w:rPr>
                <w:rFonts w:hint="default" w:ascii="Times New Roman" w:hAnsi="Times New Roman" w:cs="Times New Roman"/>
                <w:kern w:val="0"/>
                <w:sz w:val="20"/>
                <w:szCs w:val="20"/>
              </w:rPr>
              <w:t>高校美育专兼职教师队伍建设</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高校公共艺术课程建设与推进模式</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高校美育评价体系建设</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高校学生艺术社团及实践工作坊建设</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中华优秀传统文化传承基地建设</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widowControl/>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高校开展美育浸润行动经验做法</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高校美育资源与社会艺术资源共享共建典型做法</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6" w:type="dxa"/>
            <w:noWrap w:val="0"/>
            <w:vAlign w:val="center"/>
          </w:tcPr>
          <w:p>
            <w:pPr>
              <w:spacing w:line="600" w:lineRule="exact"/>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高校名师工作室建设经验做法</w:t>
            </w:r>
          </w:p>
        </w:tc>
        <w:tc>
          <w:tcPr>
            <w:tcW w:w="2658" w:type="dxa"/>
            <w:noWrap w:val="0"/>
            <w:vAlign w:val="center"/>
          </w:tcPr>
          <w:p>
            <w:pPr>
              <w:widowControl/>
              <w:spacing w:line="32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08</w:t>
            </w:r>
          </w:p>
        </w:tc>
      </w:tr>
    </w:tbl>
    <w:p>
      <w:pPr>
        <w:snapToGrid w:val="0"/>
        <w:spacing w:before="156" w:beforeLines="50" w:line="300" w:lineRule="exact"/>
        <w:ind w:left="609" w:hanging="609" w:hangingChars="290"/>
        <w:rPr>
          <w:rFonts w:hint="default" w:ascii="Times New Roman" w:hAnsi="Times New Roman" w:cs="Times New Roman"/>
          <w:kern w:val="0"/>
          <w:szCs w:val="21"/>
        </w:rPr>
      </w:pPr>
      <w:r>
        <w:rPr>
          <w:rFonts w:hint="default" w:ascii="Times New Roman" w:hAnsi="Times New Roman" w:cs="Times New Roman"/>
          <w:kern w:val="0"/>
          <w:szCs w:val="21"/>
        </w:rPr>
        <w:t>说明：代码由以上4位数字和字母构成。例如：重庆市某高校申报高校</w:t>
      </w:r>
      <w:r>
        <w:rPr>
          <w:rFonts w:hint="default" w:ascii="Times New Roman" w:hAnsi="Times New Roman" w:cs="Times New Roman"/>
          <w:kern w:val="0"/>
          <w:szCs w:val="21"/>
        </w:rPr>
        <w:t>名师工作室建设经验做法的案例，代码为3208。</w:t>
      </w:r>
    </w:p>
    <w:p>
      <w:pPr>
        <w:snapToGrid w:val="0"/>
        <w:spacing w:before="156" w:beforeLines="50" w:line="300" w:lineRule="exact"/>
        <w:ind w:left="609" w:hanging="609" w:hangingChars="290"/>
        <w:rPr>
          <w:rFonts w:hint="default" w:ascii="Times New Roman" w:hAnsi="Times New Roman" w:cs="Times New Roman"/>
          <w:kern w:val="0"/>
          <w:szCs w:val="21"/>
        </w:rPr>
      </w:pPr>
      <w:bookmarkStart w:id="0" w:name="_GoBack"/>
      <w:bookmarkEnd w:id="0"/>
    </w:p>
    <w:p>
      <w:pPr>
        <w:jc w:val="left"/>
        <w:rPr>
          <w:rFonts w:hint="default" w:ascii="Times New Roman" w:hAnsi="Times New Roman" w:eastAsia="方正黑体_GBK" w:cs="Times New Roman"/>
          <w:sz w:val="32"/>
          <w:szCs w:val="32"/>
        </w:rPr>
      </w:pPr>
    </w:p>
    <w:p>
      <w:pPr>
        <w:jc w:val="left"/>
        <w:rPr>
          <w:rFonts w:hint="default" w:ascii="Times New Roman" w:hAnsi="Times New Roman" w:eastAsia="方正黑体_GBK" w:cs="Times New Roman"/>
          <w:sz w:val="32"/>
          <w:szCs w:val="32"/>
        </w:rPr>
      </w:pPr>
    </w:p>
    <w:p>
      <w:pPr>
        <w:jc w:val="left"/>
        <w:rPr>
          <w:rFonts w:hint="default" w:ascii="Times New Roman" w:hAnsi="Times New Roman" w:eastAsia="方正黑体_GBK" w:cs="Times New Roman"/>
          <w:sz w:val="32"/>
          <w:szCs w:val="32"/>
        </w:rPr>
      </w:pPr>
    </w:p>
    <w:p>
      <w:pPr>
        <w:jc w:val="left"/>
        <w:rPr>
          <w:rFonts w:hint="default" w:ascii="Times New Roman" w:hAnsi="Times New Roman" w:eastAsia="方正黑体_GBK" w:cs="Times New Roman"/>
          <w:sz w:val="32"/>
          <w:szCs w:val="32"/>
        </w:rPr>
      </w:pPr>
    </w:p>
    <w:p>
      <w:pPr>
        <w:spacing w:before="156" w:beforeLines="50" w:line="0" w:lineRule="atLeast"/>
        <w:ind w:right="-76"/>
        <w:rPr>
          <w:rFonts w:hint="default" w:ascii="Times New Roman" w:hAnsi="Times New Roman" w:eastAsia="方正仿宋_GBK" w:cs="Times New Roman"/>
          <w:szCs w:val="21"/>
        </w:rPr>
      </w:pPr>
    </w:p>
    <w:p>
      <w:pPr>
        <w:rPr>
          <w:rFonts w:hint="default" w:ascii="Times New Roman" w:hAnsi="Times New Roman" w:cs="Times New Roman"/>
        </w:rPr>
      </w:pPr>
    </w:p>
    <w:sectPr>
      <w:footerReference r:id="rId5" w:type="default"/>
      <w:pgSz w:w="11906" w:h="16838"/>
      <w:pgMar w:top="1418" w:right="1418" w:bottom="1418" w:left="1418" w:header="851" w:footer="709"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DZmN2RlYzBhODc3NDIxNzUxZmEwOTE3NTM2ZmUifQ=="/>
  </w:docVars>
  <w:rsids>
    <w:rsidRoot w:val="0DED2D81"/>
    <w:rsid w:val="06AC1CAD"/>
    <w:rsid w:val="0B6475F1"/>
    <w:rsid w:val="0DED2D81"/>
    <w:rsid w:val="1C97691B"/>
    <w:rsid w:val="20F412FC"/>
    <w:rsid w:val="27697C29"/>
    <w:rsid w:val="29FC023D"/>
    <w:rsid w:val="2E1B3B76"/>
    <w:rsid w:val="42474071"/>
    <w:rsid w:val="488845DB"/>
    <w:rsid w:val="609A2149"/>
    <w:rsid w:val="646916E0"/>
    <w:rsid w:val="65073C31"/>
    <w:rsid w:val="65C33955"/>
    <w:rsid w:val="7840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2023-09-19T09:21:00Z</dcterms:created>
  <dc:creator>胡雨婷</dc:creator>
  <cp:lastModifiedBy>胡雨婷</cp:lastModifiedBy>
  <cp:lastPrinted>2023-09-20T10:49:00Z</cp:lastPrinted>
  <dcterms:modified xsi:type="dcterms:W3CDTF">2023-09-27T13:49:27Z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69BCBAB99368497EACA4BA2690D951A4_13</vt:lpwstr>
  </property>
</Properties>
</file>