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600" w:lineRule="exact"/>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附件</w:t>
      </w:r>
      <w:r>
        <w:rPr>
          <w:rFonts w:hint="default" w:ascii="Times New Roman" w:hAnsi="Times New Roman" w:eastAsia="方正仿宋_GBK" w:cs="Times New Roman"/>
          <w:color w:val="auto"/>
          <w:sz w:val="32"/>
          <w:szCs w:val="32"/>
          <w:highlight w:val="none"/>
          <w:lang w:val="en-US" w:eastAsia="zh-CN"/>
        </w:rPr>
        <w:t>1</w:t>
      </w:r>
    </w:p>
    <w:p>
      <w:pPr>
        <w:keepNext w:val="0"/>
        <w:keepLines w:val="0"/>
        <w:pageBreakBefore w:val="0"/>
        <w:kinsoku/>
        <w:overflowPunct/>
        <w:topLinePunct w:val="0"/>
        <w:autoSpaceDE/>
        <w:autoSpaceDN/>
        <w:bidi w:val="0"/>
        <w:adjustRightInd/>
        <w:snapToGrid/>
        <w:spacing w:beforeAutospacing="0" w:afterAutospacing="0" w:line="600" w:lineRule="exact"/>
        <w:rPr>
          <w:rFonts w:hint="default" w:ascii="Times New Roman" w:hAnsi="Times New Roman" w:eastAsia="方正小标宋_GBK" w:cs="Times New Roman"/>
          <w:color w:val="auto"/>
          <w:sz w:val="32"/>
          <w:szCs w:val="32"/>
          <w:highlight w:val="none"/>
        </w:rPr>
      </w:pPr>
    </w:p>
    <w:p>
      <w:pPr>
        <w:pStyle w:val="2"/>
        <w:keepNext w:val="0"/>
        <w:keepLines w:val="0"/>
        <w:pageBreakBefore w:val="0"/>
        <w:kinsoku/>
        <w:overflowPunct/>
        <w:topLinePunct w:val="0"/>
        <w:autoSpaceDE/>
        <w:autoSpaceDN/>
        <w:bidi w:val="0"/>
        <w:adjustRightInd/>
        <w:snapToGrid/>
        <w:spacing w:beforeAutospacing="0" w:afterAutospacing="0" w:line="600" w:lineRule="exact"/>
        <w:jc w:val="center"/>
        <w:rPr>
          <w:rFonts w:hint="eastAsia" w:ascii="方正小标宋_GBK" w:hAnsi="方正小标宋_GBK" w:eastAsia="方正小标宋_GBK" w:cs="方正小标宋_GBK"/>
          <w:b w:val="0"/>
          <w:color w:val="auto"/>
          <w:sz w:val="44"/>
          <w:szCs w:val="44"/>
          <w:highlight w:val="none"/>
        </w:rPr>
      </w:pPr>
      <w:r>
        <w:rPr>
          <w:rFonts w:hint="default" w:ascii="Times New Roman" w:hAnsi="Times New Roman" w:eastAsia="方正小标宋_GBK" w:cs="Times New Roman"/>
          <w:b w:val="0"/>
          <w:color w:val="auto"/>
          <w:sz w:val="44"/>
          <w:szCs w:val="44"/>
          <w:highlight w:val="none"/>
        </w:rPr>
        <w:t>第</w:t>
      </w:r>
      <w:r>
        <w:rPr>
          <w:rFonts w:hint="default" w:ascii="Times New Roman" w:hAnsi="Times New Roman" w:eastAsia="方正小标宋_GBK" w:cs="Times New Roman"/>
          <w:b w:val="0"/>
          <w:color w:val="auto"/>
          <w:sz w:val="44"/>
          <w:szCs w:val="44"/>
          <w:highlight w:val="none"/>
          <w:lang w:val="en-US" w:eastAsia="zh-CN"/>
        </w:rPr>
        <w:t>八</w:t>
      </w:r>
      <w:r>
        <w:rPr>
          <w:rFonts w:hint="default" w:ascii="Times New Roman" w:hAnsi="Times New Roman" w:eastAsia="方正小标宋_GBK" w:cs="Times New Roman"/>
          <w:b w:val="0"/>
          <w:color w:val="auto"/>
          <w:sz w:val="44"/>
          <w:szCs w:val="44"/>
          <w:highlight w:val="none"/>
        </w:rPr>
        <w:t>届中国</w:t>
      </w:r>
      <w:r>
        <w:rPr>
          <w:rFonts w:hint="eastAsia" w:ascii="方正小标宋_GBK" w:hAnsi="方正小标宋_GBK" w:eastAsia="方正小标宋_GBK" w:cs="方正小标宋_GBK"/>
          <w:b w:val="0"/>
          <w:color w:val="auto"/>
          <w:sz w:val="44"/>
          <w:szCs w:val="44"/>
          <w:highlight w:val="none"/>
        </w:rPr>
        <w:t>国际“互联网+”大学生创新创业</w:t>
      </w:r>
    </w:p>
    <w:p>
      <w:pPr>
        <w:pStyle w:val="2"/>
        <w:keepNext w:val="0"/>
        <w:keepLines w:val="0"/>
        <w:pageBreakBefore w:val="0"/>
        <w:kinsoku/>
        <w:overflowPunct/>
        <w:topLinePunct w:val="0"/>
        <w:autoSpaceDE/>
        <w:autoSpaceDN/>
        <w:bidi w:val="0"/>
        <w:adjustRightInd/>
        <w:snapToGrid/>
        <w:spacing w:beforeAutospacing="0" w:afterAutospacing="0" w:line="600" w:lineRule="exact"/>
        <w:jc w:val="center"/>
        <w:rPr>
          <w:rFonts w:hint="default" w:ascii="Times New Roman" w:hAnsi="Times New Roman" w:eastAsia="方正小标宋_GBK" w:cs="Times New Roman"/>
          <w:b w:val="0"/>
          <w:color w:val="auto"/>
          <w:sz w:val="44"/>
          <w:szCs w:val="44"/>
          <w:highlight w:val="none"/>
        </w:rPr>
      </w:pPr>
      <w:r>
        <w:rPr>
          <w:rFonts w:hint="eastAsia" w:ascii="方正小标宋_GBK" w:hAnsi="方正小标宋_GBK" w:eastAsia="方正小标宋_GBK" w:cs="方正小标宋_GBK"/>
          <w:b w:val="0"/>
          <w:color w:val="auto"/>
          <w:sz w:val="44"/>
          <w:szCs w:val="44"/>
          <w:highlight w:val="none"/>
        </w:rPr>
        <w:t>大赛</w:t>
      </w:r>
      <w:r>
        <w:rPr>
          <w:rFonts w:hint="eastAsia" w:ascii="方正小标宋_GBK" w:hAnsi="方正小标宋_GBK" w:eastAsia="方正小标宋_GBK" w:cs="方正小标宋_GBK"/>
          <w:b w:val="0"/>
          <w:color w:val="auto"/>
          <w:sz w:val="44"/>
          <w:szCs w:val="44"/>
          <w:highlight w:val="none"/>
          <w:lang w:val="en-US" w:eastAsia="zh-CN"/>
        </w:rPr>
        <w:t>校内</w:t>
      </w:r>
      <w:r>
        <w:rPr>
          <w:rFonts w:hint="eastAsia" w:ascii="方正小标宋_GBK" w:hAnsi="方正小标宋_GBK" w:eastAsia="方正小标宋_GBK" w:cs="方正小标宋_GBK"/>
          <w:b w:val="0"/>
          <w:color w:val="auto"/>
          <w:sz w:val="44"/>
          <w:szCs w:val="44"/>
          <w:highlight w:val="none"/>
        </w:rPr>
        <w:t>选拔赛高教</w:t>
      </w:r>
      <w:r>
        <w:rPr>
          <w:rFonts w:hint="default" w:ascii="Times New Roman" w:hAnsi="Times New Roman" w:eastAsia="方正小标宋_GBK" w:cs="Times New Roman"/>
          <w:b w:val="0"/>
          <w:color w:val="auto"/>
          <w:sz w:val="44"/>
          <w:szCs w:val="44"/>
          <w:highlight w:val="none"/>
        </w:rPr>
        <w:t>主赛道方案</w:t>
      </w:r>
    </w:p>
    <w:p>
      <w:pPr>
        <w:pStyle w:val="4"/>
        <w:keepNext w:val="0"/>
        <w:keepLines w:val="0"/>
        <w:pageBreakBefore w:val="0"/>
        <w:kinsoku/>
        <w:overflowPunct/>
        <w:topLinePunct w:val="0"/>
        <w:autoSpaceDE/>
        <w:autoSpaceDN/>
        <w:bidi w:val="0"/>
        <w:adjustRightInd/>
        <w:snapToGrid/>
        <w:spacing w:beforeAutospacing="0" w:afterAutospacing="0" w:line="600" w:lineRule="exact"/>
        <w:ind w:left="0"/>
        <w:rPr>
          <w:rFonts w:hint="default" w:ascii="Times New Roman" w:hAnsi="Times New Roman" w:eastAsia="方正仿宋_GBK" w:cs="Times New Roman"/>
          <w:color w:val="auto"/>
          <w:highlight w:val="none"/>
        </w:rPr>
      </w:pPr>
    </w:p>
    <w:p>
      <w:pPr>
        <w:snapToGrid w:val="0"/>
        <w:spacing w:line="600" w:lineRule="exact"/>
        <w:ind w:firstLine="612"/>
        <w:contextualSpacing/>
        <w:rPr>
          <w:rFonts w:hint="default" w:ascii="Times New Roman" w:hAnsi="Times New Roman" w:eastAsia="方正黑体_GBK" w:cs="Times New Roman"/>
          <w:color w:val="000000"/>
          <w:spacing w:val="-4"/>
          <w:sz w:val="32"/>
          <w:szCs w:val="32"/>
          <w:highlight w:val="none"/>
        </w:rPr>
      </w:pPr>
      <w:r>
        <w:rPr>
          <w:rFonts w:hint="default" w:ascii="Times New Roman" w:hAnsi="Times New Roman" w:eastAsia="方正黑体_GBK" w:cs="Times New Roman"/>
          <w:color w:val="000000"/>
          <w:spacing w:val="-4"/>
          <w:sz w:val="32"/>
          <w:szCs w:val="32"/>
          <w:highlight w:val="none"/>
        </w:rPr>
        <w:t>一、参赛项目类型</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1.“互联网+”现代农业，包括农林牧渔等；</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2.“互联网+”制造业，包括先进制造、智能硬件、工业自动化、生物医药、节能环保、新材料、军工等；</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3.“互联网+”信息技术服务，包括人工智能技术、物联网技术、网络空间安全技术、大数据、云计算、工具软件、社交网络、媒体门户、企业服务、下一代通讯技术、区块链等；</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4.“互联网+”文化创意服务，包括广播影视、设计服务、文化艺术、旅游休闲、艺术品交易、广告会展、动漫娱乐、体育竞技等；</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5.“互联网+”社会服务，包括电子商务、消费生活、金融、财经法务、房产家居、高效物流、教育培训、医疗健康、交通、人力资源服务等。</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参赛项目应结合以上分类及自身项目实际，合理选择项目类型。参赛项目不只限于“互联网+”项目，鼓励各类创新创业项目参赛，根据行业背景选择相应类型。</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黑体_GBK" w:cs="Times New Roman"/>
          <w:color w:val="000000"/>
          <w:spacing w:val="-4"/>
          <w:sz w:val="32"/>
          <w:szCs w:val="32"/>
          <w:highlight w:val="none"/>
        </w:rPr>
        <w:t>二、参赛方式和要求</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本赛道以团队为单位报名参赛。允许跨校组建参赛团队，每个团队的成员不少于3人，原则上不多于15人（含团队负责人），须为项目的实际核心成员。参赛团队所报参赛创业项目，须为本团队策划或经营的项目，不得借用他人项目参赛。</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2.根据参赛团队负责人的学籍或学历确定参赛团队所代表的参赛学校，且代表的参赛学校具有唯一性。</w:t>
      </w:r>
    </w:p>
    <w:p>
      <w:pPr>
        <w:snapToGrid w:val="0"/>
        <w:spacing w:line="600" w:lineRule="exact"/>
        <w:ind w:firstLine="612"/>
        <w:contextualSpacing/>
        <w:rPr>
          <w:rFonts w:hint="default" w:ascii="Times New Roman" w:hAnsi="Times New Roman" w:eastAsia="方正黑体_GBK" w:cs="Times New Roman"/>
          <w:color w:val="000000"/>
          <w:spacing w:val="-4"/>
          <w:sz w:val="32"/>
          <w:szCs w:val="32"/>
          <w:highlight w:val="none"/>
        </w:rPr>
      </w:pPr>
      <w:r>
        <w:rPr>
          <w:rFonts w:hint="default" w:ascii="Times New Roman" w:hAnsi="Times New Roman" w:eastAsia="方正黑体_GBK" w:cs="Times New Roman"/>
          <w:color w:val="000000"/>
          <w:spacing w:val="-4"/>
          <w:sz w:val="32"/>
          <w:szCs w:val="32"/>
          <w:highlight w:val="none"/>
        </w:rPr>
        <w:t>三、参赛组别和对象</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根据参赛项目所处的创业阶段、已获投资情况和项目特点等，分为本科生创意组、研究生创意组、初创组、成长组、师生共创组。具体参赛条件如下：</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（一）本科生创意组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参赛项目具有较好的创意和较为成型的产品原型或服务模式，在教育部国赛通知下发日之前尚未完成工商等各类登记注册，并符合以下条件：</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1.参赛申报人须为团队负责人，团队负责人及成员须均为普通高等学校全日制在校本科生或专科生。</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2.学校科技成果转化项目不能参加本组比赛（科技成果的完成人、所有人中参赛申报人排名第一的除外）。</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（二）研究生创意组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参赛项目具有较好的创意和较为成型的产品原型或服务模式，在教育部国赛通知下发日之前尚未完成工商等各类登记注册，并符合以下条件：</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1.参赛申报人须为团队负责人，团队负责人和团队成员须为普通高等学校全日制在校研究生或本专科生。</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2.学校科技成果转化项目不能参加本组比赛（科技成果的完成人、所有人中参赛申报人排名第一的除外）。</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（三）初创组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参赛项目工商等各类登记注册未满3年，且获机构或个人股权投资不超过1轮次，并符合以下条件：</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申报人须为初创企业法定代表人，须为普通高等学校全日制在校生（包括本专科生、研究生，不含在职教育），或毕业5年以内的学生（不含在职教育）。企业法定代表人在教育部国赛通知发布日之后进行变更的不予认可。</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2.初创组项目的股权结构中，参赛企业法定代表人的股权不得少于10%，参赛成员股权合计不得少于1/3。</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pPr>
        <w:snapToGrid w:val="0"/>
        <w:spacing w:line="600" w:lineRule="exact"/>
        <w:ind w:firstLine="612"/>
        <w:contextualSpacing/>
        <w:rPr>
          <w:rFonts w:hint="default" w:ascii="Times New Roman" w:hAnsi="Times New Roman" w:eastAsia="方正楷体_GBK" w:cs="Times New Roman"/>
          <w:color w:val="000000"/>
          <w:spacing w:val="-4"/>
          <w:sz w:val="32"/>
          <w:szCs w:val="32"/>
          <w:highlight w:val="none"/>
        </w:rPr>
      </w:pPr>
      <w:r>
        <w:rPr>
          <w:rFonts w:hint="default" w:ascii="Times New Roman" w:hAnsi="Times New Roman" w:eastAsia="方正楷体_GBK" w:cs="Times New Roman"/>
          <w:color w:val="000000"/>
          <w:spacing w:val="-4"/>
          <w:sz w:val="32"/>
          <w:szCs w:val="32"/>
          <w:highlight w:val="none"/>
        </w:rPr>
        <w:t>（四）成长组</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参赛项目工商等各类登记注册3年以上；或工商等各类登记注册未满3年，且获机构或个人股权投资2轮次以上（含2轮次），并符合以下条件：</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1.参赛申报人须为企业法定代表人，须为普通高等学校全日制在校生（包括本专科生、研究生，不含在职教育），或毕业5年以内的学生（不含在职教育）。企业法定代表人在教育部国赛通知发布日之后进行变更的不予认可。</w:t>
      </w:r>
    </w:p>
    <w:p>
      <w:pPr>
        <w:snapToGrid w:val="0"/>
        <w:spacing w:line="600" w:lineRule="exact"/>
        <w:ind w:firstLine="612"/>
        <w:contextualSpacing/>
        <w:rPr>
          <w:rFonts w:hint="default" w:ascii="Times New Roman" w:hAnsi="Times New Roman" w:eastAsia="方正仿宋_GBK" w:cs="Times New Roman"/>
          <w:color w:val="000000"/>
          <w:spacing w:val="-4"/>
          <w:sz w:val="32"/>
          <w:szCs w:val="32"/>
          <w:highlight w:val="none"/>
        </w:rPr>
      </w:pPr>
      <w:r>
        <w:rPr>
          <w:rFonts w:hint="default" w:ascii="Times New Roman" w:hAnsi="Times New Roman" w:eastAsia="方正仿宋_GBK" w:cs="Times New Roman"/>
          <w:color w:val="000000"/>
          <w:spacing w:val="-4"/>
          <w:sz w:val="32"/>
          <w:szCs w:val="32"/>
          <w:highlight w:val="none"/>
        </w:rPr>
        <w:t>2.成长组项目的股权结构中，参赛企业法定代表人的股权不得少于10%，参赛成员股权合计不得少于1/3。</w:t>
      </w:r>
    </w:p>
    <w:p>
      <w:r>
        <w:rPr>
          <w:rFonts w:hint="default" w:ascii="Times New Roman" w:hAnsi="Times New Roman" w:eastAsia="方正仿宋_GBK" w:cs="Times New Roman"/>
          <w:color w:val="000000"/>
          <w:spacing w:val="-4"/>
          <w:sz w:val="32"/>
          <w:szCs w:val="32"/>
          <w:highlight w:val="none"/>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E2100"/>
    <w:rsid w:val="13846B57"/>
    <w:rsid w:val="25F97E41"/>
    <w:rsid w:val="43613B64"/>
    <w:rsid w:val="582A3759"/>
    <w:rsid w:val="5B5574BD"/>
    <w:rsid w:val="668E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1"/>
    <w:pPr>
      <w:spacing w:line="490" w:lineRule="exact"/>
      <w:ind w:left="868"/>
      <w:outlineLvl w:val="1"/>
    </w:pPr>
    <w:rPr>
      <w:rFonts w:ascii="微软雅黑" w:hAnsi="微软雅黑" w:eastAsia="微软雅黑" w:cs="微软雅黑"/>
      <w:b/>
      <w:bCs/>
      <w:sz w:val="32"/>
      <w:szCs w:val="32"/>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27"/>
    </w:pPr>
    <w:rPr>
      <w:rFonts w:ascii="宋体" w:hAnsi="宋体" w:eastAsia="宋体" w:cs="宋体"/>
      <w:sz w:val="32"/>
      <w:szCs w:val="32"/>
      <w:lang w:val="zh-CN" w:bidi="zh-CN"/>
    </w:rPr>
  </w:style>
  <w:style w:type="paragraph" w:styleId="5">
    <w:name w:val="footer"/>
    <w:basedOn w:val="1"/>
    <w:qFormat/>
    <w:uiPriority w:val="99"/>
    <w:pPr>
      <w:tabs>
        <w:tab w:val="center" w:pos="4153"/>
        <w:tab w:val="right" w:pos="8306"/>
      </w:tabs>
      <w:snapToGrid w:val="0"/>
      <w:jc w:val="left"/>
    </w:pPr>
    <w:rPr>
      <w:sz w:val="18"/>
    </w:rPr>
  </w:style>
  <w:style w:type="paragraph" w:styleId="8">
    <w:name w:val="List Paragraph"/>
    <w:basedOn w:val="1"/>
    <w:qFormat/>
    <w:uiPriority w:val="1"/>
    <w:pPr>
      <w:spacing w:before="5"/>
      <w:ind w:left="227" w:right="269" w:firstLine="64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2021-11-14T08:30:00Z</dcterms:created>
  <dc:creator>お斑驳か轻舟び</dc:creator>
  <cp:lastModifiedBy>Olivia</cp:lastModifiedBy>
  <dcterms:modified xsi:type="dcterms:W3CDTF">2022-03-03T06:28:16Z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2A958FD8B0F341AF8CD3EB7900D105B8</vt:lpwstr>
  </property>
</Properties>
</file>